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7476F" w14:textId="77777777" w:rsidR="001F763F" w:rsidRDefault="001F763F" w:rsidP="00A6332E">
      <w:pPr>
        <w:pStyle w:val="Title"/>
      </w:pPr>
      <w:bookmarkStart w:id="0" w:name="_GoBack"/>
      <w:bookmarkEnd w:id="0"/>
      <w:r w:rsidRPr="00785047">
        <w:t>MDWG Definitions – Report</w:t>
      </w:r>
    </w:p>
    <w:p w14:paraId="6D99C2E3" w14:textId="77777777" w:rsidR="00A6332E" w:rsidRPr="00CD3C0A" w:rsidRDefault="00A6332E" w:rsidP="00CD3C0A">
      <w:pPr>
        <w:pStyle w:val="Subtitle"/>
        <w:rPr>
          <w:rStyle w:val="SubtleEmphasis"/>
        </w:rPr>
      </w:pPr>
      <w:proofErr w:type="spellStart"/>
      <w:r w:rsidRPr="00CD3C0A">
        <w:rPr>
          <w:rStyle w:val="SubtleEmphasis"/>
        </w:rPr>
        <w:t>OpenWork</w:t>
      </w:r>
      <w:proofErr w:type="spellEnd"/>
      <w:r w:rsidRPr="00CD3C0A">
        <w:rPr>
          <w:rStyle w:val="SubtleEmphasis"/>
        </w:rPr>
        <w:t xml:space="preserve"> Ltd</w:t>
      </w:r>
    </w:p>
    <w:p w14:paraId="722B5500" w14:textId="77777777" w:rsidR="00A6332E" w:rsidRPr="00CD3C0A" w:rsidRDefault="00A6332E" w:rsidP="00CD3C0A">
      <w:pPr>
        <w:pStyle w:val="Subtitle"/>
        <w:rPr>
          <w:rStyle w:val="SubtleEmphasis"/>
        </w:rPr>
      </w:pPr>
      <w:r w:rsidRPr="00CD3C0A">
        <w:rPr>
          <w:rStyle w:val="SubtleEmphasis"/>
        </w:rPr>
        <w:t>16 January 2019</w:t>
      </w:r>
    </w:p>
    <w:p w14:paraId="6E532083" w14:textId="77777777" w:rsidR="00CD3C0A" w:rsidRPr="00CD3C0A" w:rsidRDefault="0BB4BDDB" w:rsidP="0BB4BDDB">
      <w:pPr>
        <w:pStyle w:val="Subtitle"/>
        <w:rPr>
          <w:rStyle w:val="SubtleEmphasis"/>
        </w:rPr>
      </w:pPr>
      <w:r w:rsidRPr="0BB4BDDB">
        <w:rPr>
          <w:rStyle w:val="SubtleEmphasis"/>
        </w:rPr>
        <w:t>Author – Byron Cochrane</w:t>
      </w:r>
    </w:p>
    <w:p w14:paraId="4077FC06" w14:textId="7F52565F" w:rsidR="0BB4BDDB" w:rsidRDefault="0BB4BDDB" w:rsidP="0BB4BDDB">
      <w:pPr>
        <w:rPr>
          <w:rFonts w:ascii="Calibri" w:eastAsia="Calibri" w:hAnsi="Calibri" w:cs="Calibri"/>
          <w:color w:val="FFFFFF" w:themeColor="background1"/>
          <w:sz w:val="25"/>
          <w:szCs w:val="25"/>
        </w:rPr>
      </w:pPr>
      <w:r w:rsidRPr="0BB4BDDB">
        <w:rPr>
          <w:rStyle w:val="SubtleEmphasis"/>
        </w:rPr>
        <w:t xml:space="preserve">Attachments </w:t>
      </w:r>
      <w:proofErr w:type="gramStart"/>
      <w:r w:rsidRPr="0BB4BDDB">
        <w:rPr>
          <w:rStyle w:val="SubtleEmphasis"/>
        </w:rPr>
        <w:t>–  MDWG</w:t>
      </w:r>
      <w:proofErr w:type="gramEnd"/>
      <w:r w:rsidRPr="0BB4BDDB">
        <w:rPr>
          <w:rStyle w:val="SubtleEmphasis"/>
        </w:rPr>
        <w:t xml:space="preserve"> element definitions.xlsx, </w:t>
      </w:r>
    </w:p>
    <w:p w14:paraId="7C186794" w14:textId="51DAEF26" w:rsidR="0BB4BDDB" w:rsidRDefault="0BB4BDDB" w:rsidP="0BB4BDDB">
      <w:pPr>
        <w:ind w:left="720" w:firstLine="720"/>
        <w:rPr>
          <w:rFonts w:ascii="Calibri" w:eastAsia="Calibri" w:hAnsi="Calibri" w:cs="Calibri"/>
          <w:color w:val="FFFFFF" w:themeColor="background1"/>
          <w:sz w:val="25"/>
          <w:szCs w:val="25"/>
        </w:rPr>
      </w:pPr>
      <w:r w:rsidRPr="0BB4BDDB">
        <w:rPr>
          <w:rStyle w:val="SubtleEmphasis"/>
        </w:rPr>
        <w:t xml:space="preserve">Combined Metadata between profiles.xlsx </w:t>
      </w:r>
      <w:r w:rsidRPr="0BB4BDDB">
        <w:rPr>
          <w:rFonts w:ascii="Calibri" w:eastAsia="Calibri" w:hAnsi="Calibri" w:cs="Calibri"/>
          <w:color w:val="FFFFFF" w:themeColor="background1"/>
          <w:sz w:val="25"/>
          <w:szCs w:val="25"/>
        </w:rPr>
        <w:t>tween profiles</w:t>
      </w:r>
    </w:p>
    <w:p w14:paraId="672A6659" w14:textId="77777777" w:rsidR="001F763F" w:rsidRPr="00785047" w:rsidRDefault="001F763F" w:rsidP="001F763F">
      <w:pPr>
        <w:pStyle w:val="NormalWeb"/>
        <w:spacing w:after="0" w:line="240" w:lineRule="auto"/>
        <w:rPr>
          <w:rFonts w:asciiTheme="minorHAnsi" w:hAnsiTheme="minorHAnsi" w:cstheme="minorHAnsi"/>
        </w:rPr>
      </w:pPr>
    </w:p>
    <w:p w14:paraId="440CD3C6" w14:textId="77777777" w:rsidR="001F763F" w:rsidRDefault="001F763F" w:rsidP="00A6332E">
      <w:pPr>
        <w:pStyle w:val="Heading1"/>
      </w:pPr>
      <w:r w:rsidRPr="00785047">
        <w:t>What we proposed:</w:t>
      </w:r>
    </w:p>
    <w:p w14:paraId="0A37501D" w14:textId="77777777" w:rsidR="00D7783F" w:rsidRDefault="00D7783F" w:rsidP="00D7783F"/>
    <w:p w14:paraId="094155E4" w14:textId="77777777" w:rsidR="00D7783F" w:rsidRDefault="00D7783F" w:rsidP="00D7783F">
      <w:r>
        <w:t>Objective:</w:t>
      </w:r>
    </w:p>
    <w:p w14:paraId="5DAB6C7B" w14:textId="77777777" w:rsidR="00D7783F" w:rsidRDefault="00D7783F" w:rsidP="00D7783F"/>
    <w:p w14:paraId="7A36DBE1" w14:textId="77777777" w:rsidR="00D7783F" w:rsidRPr="00D7783F" w:rsidRDefault="00D7783F" w:rsidP="00D7783F">
      <w:r>
        <w:t>Provide substantive information to use for future evidence base analysis as to the differences between existing applications of the ISO 19115-1 metadata standard in organisations. This will be used to resolve differences in application of this standard and provide guidance to future use.</w:t>
      </w:r>
    </w:p>
    <w:p w14:paraId="6990BD90" w14:textId="77777777" w:rsidR="001F763F" w:rsidRPr="00785047" w:rsidRDefault="00A6332E" w:rsidP="001F763F">
      <w:pPr>
        <w:pStyle w:val="NormalWeb"/>
        <w:spacing w:after="0" w:line="240" w:lineRule="auto"/>
        <w:rPr>
          <w:rFonts w:asciiTheme="minorHAnsi" w:hAnsiTheme="minorHAnsi" w:cstheme="minorHAnsi"/>
        </w:rPr>
      </w:pPr>
      <w:r>
        <w:rPr>
          <w:rFonts w:asciiTheme="minorHAnsi" w:hAnsiTheme="minorHAnsi" w:cstheme="minorHAnsi"/>
        </w:rPr>
        <w:t>Tasks:</w:t>
      </w:r>
    </w:p>
    <w:p w14:paraId="2A5C4194" w14:textId="77777777" w:rsidR="001F763F" w:rsidRPr="00785047" w:rsidRDefault="001F763F" w:rsidP="001F763F">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Insert and Populate an ISO 19115-1 definitions column on the “Metadata Mappings Between Profiles”</w:t>
      </w:r>
      <w:r w:rsidRPr="00785047">
        <w:rPr>
          <w:rFonts w:asciiTheme="minorHAnsi" w:hAnsiTheme="minorHAnsi" w:cstheme="minorHAnsi"/>
        </w:rPr>
        <w:t xml:space="preserve"> </w:t>
      </w:r>
      <w:r w:rsidRPr="00785047">
        <w:rPr>
          <w:rFonts w:asciiTheme="minorHAnsi" w:hAnsiTheme="minorHAnsi" w:cstheme="minorHAnsi"/>
          <w:color w:val="000000"/>
        </w:rPr>
        <w:t>table (as currently compiled by Irina)</w:t>
      </w:r>
    </w:p>
    <w:p w14:paraId="350B7D93" w14:textId="77777777" w:rsidR="001F763F" w:rsidRPr="00785047" w:rsidRDefault="001F763F" w:rsidP="001F763F">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Insert and Populate an CKAN (data.gov.au) definitions column on the “Metadata Mappings Between</w:t>
      </w:r>
      <w:r w:rsidRPr="00785047">
        <w:rPr>
          <w:rFonts w:asciiTheme="minorHAnsi" w:hAnsiTheme="minorHAnsi" w:cstheme="minorHAnsi"/>
        </w:rPr>
        <w:t xml:space="preserve"> </w:t>
      </w:r>
      <w:r w:rsidRPr="00785047">
        <w:rPr>
          <w:rFonts w:asciiTheme="minorHAnsi" w:hAnsiTheme="minorHAnsi" w:cstheme="minorHAnsi"/>
          <w:color w:val="000000"/>
        </w:rPr>
        <w:t>Profiles” table for those elements that have identified data.gov.au mappings</w:t>
      </w:r>
    </w:p>
    <w:p w14:paraId="143E1D5C" w14:textId="77777777" w:rsidR="001F763F" w:rsidRPr="00785047" w:rsidRDefault="001F763F" w:rsidP="001F763F">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Insert and Populate an DCAT definitions column on the “Metadata Mappings Between Profiles” table for</w:t>
      </w:r>
      <w:r w:rsidRPr="00785047">
        <w:rPr>
          <w:rFonts w:asciiTheme="minorHAnsi" w:hAnsiTheme="minorHAnsi" w:cstheme="minorHAnsi"/>
        </w:rPr>
        <w:t xml:space="preserve"> </w:t>
      </w:r>
      <w:r w:rsidRPr="00785047">
        <w:rPr>
          <w:rFonts w:asciiTheme="minorHAnsi" w:hAnsiTheme="minorHAnsi" w:cstheme="minorHAnsi"/>
          <w:color w:val="000000"/>
        </w:rPr>
        <w:t xml:space="preserve">those elements that have identified DCAT mappings </w:t>
      </w:r>
    </w:p>
    <w:p w14:paraId="647B3AAB" w14:textId="77777777" w:rsidR="001F763F" w:rsidRPr="00785047" w:rsidRDefault="001F763F" w:rsidP="001F763F">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In parallel, ask participants for best and most complete examples of metadata records from each of the 3</w:t>
      </w:r>
      <w:r w:rsidRPr="00785047">
        <w:rPr>
          <w:rFonts w:asciiTheme="minorHAnsi" w:hAnsiTheme="minorHAnsi" w:cstheme="minorHAnsi"/>
        </w:rPr>
        <w:t xml:space="preserve"> </w:t>
      </w:r>
      <w:r w:rsidRPr="00785047">
        <w:rPr>
          <w:rFonts w:asciiTheme="minorHAnsi" w:hAnsiTheme="minorHAnsi" w:cstheme="minorHAnsi"/>
          <w:color w:val="000000"/>
        </w:rPr>
        <w:t>organisations that have submitted ISO 19115-1 metadata to the “Metadata Mappings Between Profiles”</w:t>
      </w:r>
      <w:r w:rsidRPr="00785047">
        <w:rPr>
          <w:rFonts w:asciiTheme="minorHAnsi" w:hAnsiTheme="minorHAnsi" w:cstheme="minorHAnsi"/>
        </w:rPr>
        <w:t xml:space="preserve"> </w:t>
      </w:r>
      <w:r w:rsidRPr="00785047">
        <w:rPr>
          <w:rFonts w:asciiTheme="minorHAnsi" w:hAnsiTheme="minorHAnsi" w:cstheme="minorHAnsi"/>
          <w:color w:val="000000"/>
        </w:rPr>
        <w:t>table. Confirm that these are fit for purpose of this exercise.</w:t>
      </w:r>
    </w:p>
    <w:p w14:paraId="533A0F49" w14:textId="77777777" w:rsidR="001F763F" w:rsidRPr="00785047" w:rsidRDefault="001F763F" w:rsidP="001F763F">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For each of the 58 elements, we will create a table containing:</w:t>
      </w:r>
    </w:p>
    <w:p w14:paraId="621A08B7" w14:textId="77777777" w:rsidR="001F763F" w:rsidRPr="00785047" w:rsidRDefault="001F763F" w:rsidP="001F763F">
      <w:pPr>
        <w:pStyle w:val="NormalWeb"/>
        <w:numPr>
          <w:ilvl w:val="1"/>
          <w:numId w:val="4"/>
        </w:numPr>
        <w:spacing w:after="0" w:line="240" w:lineRule="auto"/>
        <w:rPr>
          <w:rFonts w:asciiTheme="minorHAnsi" w:hAnsiTheme="minorHAnsi" w:cstheme="minorHAnsi"/>
        </w:rPr>
      </w:pPr>
      <w:r w:rsidRPr="00785047">
        <w:rPr>
          <w:rFonts w:asciiTheme="minorHAnsi" w:hAnsiTheme="minorHAnsi" w:cstheme="minorHAnsi"/>
          <w:color w:val="000000"/>
        </w:rPr>
        <w:t>ISO 19115-1 element definition</w:t>
      </w:r>
    </w:p>
    <w:p w14:paraId="0A538FDC" w14:textId="77777777" w:rsidR="001F763F" w:rsidRPr="00785047" w:rsidRDefault="001F763F" w:rsidP="001F763F">
      <w:pPr>
        <w:pStyle w:val="NormalWeb"/>
        <w:numPr>
          <w:ilvl w:val="1"/>
          <w:numId w:val="4"/>
        </w:numPr>
        <w:spacing w:after="0" w:line="240" w:lineRule="auto"/>
        <w:rPr>
          <w:rFonts w:asciiTheme="minorHAnsi" w:hAnsiTheme="minorHAnsi" w:cstheme="minorHAnsi"/>
        </w:rPr>
      </w:pPr>
      <w:r w:rsidRPr="00785047">
        <w:rPr>
          <w:rFonts w:asciiTheme="minorHAnsi" w:hAnsiTheme="minorHAnsi" w:cstheme="minorHAnsi"/>
          <w:color w:val="000000"/>
        </w:rPr>
        <w:t>real examples from each of the 3 above mentioned organisations of how the element is populated</w:t>
      </w:r>
    </w:p>
    <w:p w14:paraId="298707DA" w14:textId="77777777" w:rsidR="001F763F" w:rsidRPr="00785047" w:rsidRDefault="001F763F" w:rsidP="001F763F">
      <w:pPr>
        <w:pStyle w:val="NormalWeb"/>
        <w:numPr>
          <w:ilvl w:val="1"/>
          <w:numId w:val="4"/>
        </w:numPr>
        <w:spacing w:after="0" w:line="240" w:lineRule="auto"/>
        <w:rPr>
          <w:rFonts w:asciiTheme="minorHAnsi" w:hAnsiTheme="minorHAnsi" w:cstheme="minorHAnsi"/>
        </w:rPr>
      </w:pPr>
      <w:r w:rsidRPr="00785047">
        <w:rPr>
          <w:rFonts w:asciiTheme="minorHAnsi" w:hAnsiTheme="minorHAnsi" w:cstheme="minorHAnsi"/>
          <w:color w:val="000000"/>
        </w:rPr>
        <w:t>a cursory “stoplight” level assessment of the level agreement between organisations on use of each</w:t>
      </w:r>
      <w:r w:rsidRPr="00785047">
        <w:rPr>
          <w:rFonts w:asciiTheme="minorHAnsi" w:hAnsiTheme="minorHAnsi" w:cstheme="minorHAnsi"/>
        </w:rPr>
        <w:t xml:space="preserve"> </w:t>
      </w:r>
      <w:r w:rsidRPr="00785047">
        <w:rPr>
          <w:rFonts w:asciiTheme="minorHAnsi" w:hAnsiTheme="minorHAnsi" w:cstheme="minorHAnsi"/>
          <w:color w:val="000000"/>
        </w:rPr>
        <w:t>element</w:t>
      </w:r>
    </w:p>
    <w:p w14:paraId="20CF8128" w14:textId="77777777" w:rsidR="00BE4BB4" w:rsidRPr="00BE4BB4" w:rsidRDefault="001F763F" w:rsidP="00BE4BB4">
      <w:pPr>
        <w:pStyle w:val="NormalWeb"/>
        <w:numPr>
          <w:ilvl w:val="0"/>
          <w:numId w:val="4"/>
        </w:numPr>
        <w:spacing w:after="0" w:line="240" w:lineRule="auto"/>
        <w:rPr>
          <w:rFonts w:asciiTheme="minorHAnsi" w:hAnsiTheme="minorHAnsi" w:cstheme="minorHAnsi"/>
        </w:rPr>
      </w:pPr>
      <w:r w:rsidRPr="00785047">
        <w:rPr>
          <w:rFonts w:asciiTheme="minorHAnsi" w:hAnsiTheme="minorHAnsi" w:cstheme="minorHAnsi"/>
          <w:color w:val="000000"/>
        </w:rPr>
        <w:t>Results will be compiled and shared with all participants for review and further analysis.</w:t>
      </w:r>
    </w:p>
    <w:p w14:paraId="46F56FB0" w14:textId="77777777" w:rsidR="00BE4BB4" w:rsidRDefault="00BE4BB4" w:rsidP="00BE4BB4">
      <w:pPr>
        <w:pStyle w:val="NormalWeb"/>
        <w:spacing w:after="0" w:line="240" w:lineRule="auto"/>
        <w:rPr>
          <w:rFonts w:asciiTheme="minorHAnsi" w:hAnsiTheme="minorHAnsi" w:cstheme="minorHAnsi"/>
          <w:color w:val="000000"/>
        </w:rPr>
      </w:pPr>
      <w:r w:rsidRPr="00785047">
        <w:rPr>
          <w:rFonts w:asciiTheme="minorHAnsi" w:hAnsiTheme="minorHAnsi" w:cstheme="minorHAnsi"/>
          <w:color w:val="000000"/>
        </w:rPr>
        <w:t xml:space="preserve">As our focus was on alignment of definitions to gain mutual agreement on terminology and use, we have chosen not to address obligation and cardinality issues. We have limited in this report to those elements cited in “Metadata Mappings </w:t>
      </w:r>
      <w:proofErr w:type="gramStart"/>
      <w:r w:rsidRPr="00785047">
        <w:rPr>
          <w:rFonts w:asciiTheme="minorHAnsi" w:hAnsiTheme="minorHAnsi" w:cstheme="minorHAnsi"/>
          <w:color w:val="000000"/>
        </w:rPr>
        <w:t>Between</w:t>
      </w:r>
      <w:proofErr w:type="gramEnd"/>
      <w:r w:rsidRPr="00785047">
        <w:rPr>
          <w:rFonts w:asciiTheme="minorHAnsi" w:hAnsiTheme="minorHAnsi" w:cstheme="minorHAnsi"/>
          <w:color w:val="000000"/>
        </w:rPr>
        <w:t xml:space="preserve"> </w:t>
      </w:r>
      <w:proofErr w:type="spellStart"/>
      <w:r w:rsidRPr="00785047">
        <w:rPr>
          <w:rFonts w:asciiTheme="minorHAnsi" w:hAnsiTheme="minorHAnsi" w:cstheme="minorHAnsi"/>
          <w:color w:val="000000"/>
        </w:rPr>
        <w:t>Profiles_main</w:t>
      </w:r>
      <w:proofErr w:type="spellEnd"/>
      <w:r w:rsidRPr="00785047">
        <w:rPr>
          <w:rFonts w:asciiTheme="minorHAnsi" w:hAnsiTheme="minorHAnsi" w:cstheme="minorHAnsi"/>
          <w:color w:val="000000"/>
        </w:rPr>
        <w:t xml:space="preserve"> 2.xlsx”</w:t>
      </w:r>
    </w:p>
    <w:p w14:paraId="02EB378F" w14:textId="77777777" w:rsidR="001F763F" w:rsidRPr="00785047" w:rsidRDefault="001F763F" w:rsidP="001F763F">
      <w:pPr>
        <w:pStyle w:val="NormalWeb"/>
        <w:spacing w:after="0" w:line="240" w:lineRule="auto"/>
        <w:rPr>
          <w:rFonts w:asciiTheme="minorHAnsi" w:hAnsiTheme="minorHAnsi" w:cstheme="minorHAnsi"/>
        </w:rPr>
      </w:pPr>
    </w:p>
    <w:p w14:paraId="5EFBCA64" w14:textId="402A1070" w:rsidR="001F763F" w:rsidRPr="00785047" w:rsidRDefault="0BB4BDDB" w:rsidP="00A6332E">
      <w:pPr>
        <w:pStyle w:val="Heading2"/>
      </w:pPr>
      <w:r>
        <w:t>Notes and Variance from proposal</w:t>
      </w:r>
    </w:p>
    <w:p w14:paraId="39C6F610" w14:textId="77777777" w:rsidR="001F763F" w:rsidRPr="00785047" w:rsidRDefault="001F763F" w:rsidP="001F763F">
      <w:pPr>
        <w:pStyle w:val="NormalWeb"/>
        <w:numPr>
          <w:ilvl w:val="0"/>
          <w:numId w:val="2"/>
        </w:numPr>
        <w:spacing w:after="0" w:line="240" w:lineRule="auto"/>
        <w:rPr>
          <w:rFonts w:asciiTheme="minorHAnsi" w:hAnsiTheme="minorHAnsi" w:cstheme="minorHAnsi"/>
        </w:rPr>
      </w:pPr>
      <w:r w:rsidRPr="00785047">
        <w:rPr>
          <w:rFonts w:asciiTheme="minorHAnsi" w:hAnsiTheme="minorHAnsi" w:cstheme="minorHAnsi"/>
          <w:color w:val="000000"/>
        </w:rPr>
        <w:t>The ISO Definitions consist of 3 columns – one that contains the path, one that contains the ISO definitions for each node in the path, and one that creates a summary definition of the element based on its location in the element path. This was done in order to add context to the element definitions in a transparent way. These definitions are sourced from the official AS/NZS standard document “ASNZSISO19115.1-2015+A1.pdf”</w:t>
      </w:r>
    </w:p>
    <w:p w14:paraId="1B362C29" w14:textId="42F37399" w:rsidR="001F763F" w:rsidRPr="00785047" w:rsidRDefault="0BB4BDDB" w:rsidP="0BB4BDDB">
      <w:pPr>
        <w:pStyle w:val="NormalWeb"/>
        <w:numPr>
          <w:ilvl w:val="0"/>
          <w:numId w:val="2"/>
        </w:numPr>
        <w:spacing w:after="0" w:line="240" w:lineRule="auto"/>
        <w:rPr>
          <w:rFonts w:asciiTheme="minorHAnsi" w:hAnsiTheme="minorHAnsi" w:cstheme="minorBidi"/>
        </w:rPr>
      </w:pPr>
      <w:r w:rsidRPr="0BB4BDDB">
        <w:rPr>
          <w:rFonts w:asciiTheme="minorHAnsi" w:hAnsiTheme="minorHAnsi" w:cstheme="minorBidi"/>
          <w:color w:val="000000" w:themeColor="text1"/>
        </w:rPr>
        <w:t xml:space="preserve">The data.gov.au elements (CKAN) are defined by two columns sourced from the “Description” and “Vocab Control” columns in the tables at </w:t>
      </w:r>
      <w:hyperlink r:id="rId5">
        <w:r w:rsidRPr="0BB4BDDB">
          <w:rPr>
            <w:rStyle w:val="Hyperlink"/>
            <w:rFonts w:asciiTheme="minorHAnsi" w:hAnsiTheme="minorHAnsi" w:cstheme="minorBidi"/>
          </w:rPr>
          <w:t>https://toolkit.data.gov.au/index.php/Discovering_Metadata</w:t>
        </w:r>
      </w:hyperlink>
      <w:r w:rsidRPr="0BB4BDDB">
        <w:rPr>
          <w:rFonts w:asciiTheme="minorHAnsi" w:hAnsiTheme="minorHAnsi" w:cstheme="minorBidi"/>
          <w:color w:val="000000" w:themeColor="text1"/>
        </w:rPr>
        <w:t>.</w:t>
      </w:r>
    </w:p>
    <w:p w14:paraId="5C3D3149" w14:textId="77777777" w:rsidR="001F763F" w:rsidRPr="00785047" w:rsidRDefault="00471436" w:rsidP="001F763F">
      <w:pPr>
        <w:pStyle w:val="NormalWeb"/>
        <w:numPr>
          <w:ilvl w:val="0"/>
          <w:numId w:val="2"/>
        </w:numPr>
        <w:spacing w:after="0" w:line="240" w:lineRule="auto"/>
        <w:rPr>
          <w:rFonts w:asciiTheme="minorHAnsi" w:hAnsiTheme="minorHAnsi" w:cstheme="minorHAnsi"/>
        </w:rPr>
      </w:pPr>
      <w:r w:rsidRPr="00785047">
        <w:rPr>
          <w:rFonts w:asciiTheme="minorHAnsi" w:hAnsiTheme="minorHAnsi" w:cstheme="minorHAnsi"/>
          <w:color w:val="000000"/>
        </w:rPr>
        <w:t>DCAT definitions are described using the latest documentation from the W3C Dataset Exchange Working Group (DXWG)</w:t>
      </w:r>
      <w:r w:rsidR="001F763F" w:rsidRPr="00785047">
        <w:rPr>
          <w:rFonts w:asciiTheme="minorHAnsi" w:hAnsiTheme="minorHAnsi" w:cstheme="minorHAnsi"/>
          <w:color w:val="000000"/>
        </w:rPr>
        <w:t xml:space="preserve"> with two columns added “DCAT </w:t>
      </w:r>
      <w:proofErr w:type="spellStart"/>
      <w:r w:rsidR="001F763F" w:rsidRPr="00785047">
        <w:rPr>
          <w:rFonts w:asciiTheme="minorHAnsi" w:hAnsiTheme="minorHAnsi" w:cstheme="minorHAnsi"/>
          <w:color w:val="000000"/>
        </w:rPr>
        <w:t>def</w:t>
      </w:r>
      <w:proofErr w:type="spellEnd"/>
      <w:r w:rsidR="001F763F" w:rsidRPr="00785047">
        <w:rPr>
          <w:rFonts w:asciiTheme="minorHAnsi" w:hAnsiTheme="minorHAnsi" w:cstheme="minorHAnsi"/>
          <w:color w:val="000000"/>
        </w:rPr>
        <w:t xml:space="preserve">” and “Notes”. These are sourced from </w:t>
      </w:r>
      <w:hyperlink r:id="rId6" w:history="1">
        <w:r w:rsidR="001F763F" w:rsidRPr="00785047">
          <w:rPr>
            <w:rStyle w:val="Hyperlink"/>
            <w:rFonts w:asciiTheme="minorHAnsi" w:hAnsiTheme="minorHAnsi" w:cstheme="minorHAnsi"/>
          </w:rPr>
          <w:t>https://w3c.github.io/dxwg/dcat/</w:t>
        </w:r>
      </w:hyperlink>
      <w:r w:rsidR="001F763F" w:rsidRPr="00785047">
        <w:rPr>
          <w:rFonts w:asciiTheme="minorHAnsi" w:hAnsiTheme="minorHAnsi" w:cstheme="minorHAnsi"/>
          <w:color w:val="000000"/>
        </w:rPr>
        <w:t xml:space="preserve"> and </w:t>
      </w:r>
      <w:hyperlink r:id="rId7" w:history="1">
        <w:r w:rsidR="001F763F" w:rsidRPr="00785047">
          <w:rPr>
            <w:rStyle w:val="Hyperlink"/>
            <w:rFonts w:asciiTheme="minorHAnsi" w:hAnsiTheme="minorHAnsi" w:cstheme="minorHAnsi"/>
          </w:rPr>
          <w:t>https://github.com/w3c/dxwg/blob/gh-pages/DCAT-ISO19115-mapping.xlsx</w:t>
        </w:r>
      </w:hyperlink>
      <w:r w:rsidR="001F763F" w:rsidRPr="00785047">
        <w:rPr>
          <w:rFonts w:asciiTheme="minorHAnsi" w:hAnsiTheme="minorHAnsi" w:cstheme="minorHAnsi"/>
          <w:color w:val="000000"/>
        </w:rPr>
        <w:t xml:space="preserve"> respectively</w:t>
      </w:r>
    </w:p>
    <w:p w14:paraId="0596E402" w14:textId="77777777" w:rsidR="001F763F" w:rsidRPr="00785047" w:rsidRDefault="001F763F" w:rsidP="001F763F">
      <w:pPr>
        <w:pStyle w:val="NormalWeb"/>
        <w:numPr>
          <w:ilvl w:val="0"/>
          <w:numId w:val="2"/>
        </w:numPr>
        <w:spacing w:after="0" w:line="240" w:lineRule="auto"/>
        <w:rPr>
          <w:rFonts w:asciiTheme="minorHAnsi" w:hAnsiTheme="minorHAnsi" w:cstheme="minorHAnsi"/>
        </w:rPr>
      </w:pPr>
      <w:r w:rsidRPr="00785047">
        <w:rPr>
          <w:rFonts w:asciiTheme="minorHAnsi" w:hAnsiTheme="minorHAnsi" w:cstheme="minorHAnsi"/>
          <w:color w:val="000000"/>
        </w:rPr>
        <w:t xml:space="preserve">Due to lack of access to needed participants over the holidays, we used two rather than three ISO 19115-3 examples. (Also, it seemed unclear that AADC has yet developed records sufficient for reference.) From ABARES we used the “test.xml” that Evert supplied with his earlier documentation. For GA, we randomly chose </w:t>
      </w:r>
      <w:proofErr w:type="gramStart"/>
      <w:r w:rsidRPr="00785047">
        <w:rPr>
          <w:rFonts w:asciiTheme="minorHAnsi" w:hAnsiTheme="minorHAnsi" w:cstheme="minorHAnsi"/>
          <w:color w:val="000000"/>
        </w:rPr>
        <w:t>a</w:t>
      </w:r>
      <w:proofErr w:type="gramEnd"/>
      <w:r w:rsidRPr="00785047">
        <w:rPr>
          <w:rFonts w:asciiTheme="minorHAnsi" w:hAnsiTheme="minorHAnsi" w:cstheme="minorHAnsi"/>
          <w:color w:val="000000"/>
        </w:rPr>
        <w:t xml:space="preserve"> ISO19115-3 record from their catalogue, “Geomorphic features of the Antarctic and Southern Ocean 2012” - </w:t>
      </w:r>
      <w:hyperlink r:id="rId8" w:history="1">
        <w:r w:rsidRPr="00785047">
          <w:rPr>
            <w:rStyle w:val="Hyperlink"/>
            <w:rFonts w:asciiTheme="minorHAnsi" w:hAnsiTheme="minorHAnsi" w:cstheme="minorHAnsi"/>
          </w:rPr>
          <w:t>http://www.ga.gov.au/metadata-gateway/metadata/record/102441</w:t>
        </w:r>
      </w:hyperlink>
      <w:r w:rsidR="00CD3C0A">
        <w:rPr>
          <w:rFonts w:asciiTheme="minorHAnsi" w:hAnsiTheme="minorHAnsi" w:cstheme="minorHAnsi"/>
          <w:color w:val="000000"/>
        </w:rPr>
        <w:t>.  We did, however, include example metadata from data.gov.au which provides insight to how the metadata field mappings align between the two standards.</w:t>
      </w:r>
    </w:p>
    <w:p w14:paraId="5A5AAC0D" w14:textId="64864967" w:rsidR="00EC311C" w:rsidRPr="00BE4BB4" w:rsidRDefault="0BB4BDDB" w:rsidP="0BB4BDDB">
      <w:pPr>
        <w:pStyle w:val="NormalWeb"/>
        <w:numPr>
          <w:ilvl w:val="0"/>
          <w:numId w:val="2"/>
        </w:numPr>
        <w:spacing w:after="0" w:line="240" w:lineRule="auto"/>
        <w:rPr>
          <w:rFonts w:asciiTheme="minorHAnsi" w:hAnsiTheme="minorHAnsi" w:cstheme="minorBidi"/>
        </w:rPr>
      </w:pPr>
      <w:r w:rsidRPr="0BB4BDDB">
        <w:rPr>
          <w:rFonts w:asciiTheme="minorHAnsi" w:hAnsiTheme="minorHAnsi" w:cstheme="minorBidi"/>
          <w:color w:val="000000" w:themeColor="text1"/>
        </w:rPr>
        <w:t>In the MDWG Definitions report spreadsheet, we also included definitions supplied by ABARES and GA. These are source from documents previously supplied to MDWG, “draftDataMetadataReqV0.4.xlsx” and “GA Profile 19115_1 0.2 draft.pdf”.</w:t>
      </w:r>
      <w:r w:rsidRPr="0BB4BDDB">
        <w:rPr>
          <w:rFonts w:asciiTheme="minorHAnsi" w:hAnsiTheme="minorHAnsi" w:cstheme="minorBidi"/>
        </w:rPr>
        <w:t xml:space="preserve"> </w:t>
      </w:r>
      <w:r w:rsidRPr="0BB4BDDB">
        <w:rPr>
          <w:rFonts w:asciiTheme="minorHAnsi" w:hAnsiTheme="minorHAnsi" w:cstheme="minorBidi"/>
          <w:b/>
          <w:bCs/>
        </w:rPr>
        <w:t>Note</w:t>
      </w:r>
      <w:r w:rsidRPr="0BB4BDDB">
        <w:rPr>
          <w:rFonts w:asciiTheme="minorHAnsi" w:hAnsiTheme="minorHAnsi" w:cstheme="minorBidi"/>
        </w:rPr>
        <w:t xml:space="preserve"> - Prior to commencement of this work, Irina Bastrakova rightly pointed out that there are somewhat less </w:t>
      </w:r>
      <w:proofErr w:type="spellStart"/>
      <w:r w:rsidRPr="0BB4BDDB">
        <w:rPr>
          <w:rFonts w:asciiTheme="minorHAnsi" w:hAnsiTheme="minorHAnsi" w:cstheme="minorBidi"/>
        </w:rPr>
        <w:t>that</w:t>
      </w:r>
      <w:proofErr w:type="spellEnd"/>
      <w:r w:rsidRPr="0BB4BDDB">
        <w:rPr>
          <w:rFonts w:asciiTheme="minorHAnsi" w:hAnsiTheme="minorHAnsi" w:cstheme="minorBidi"/>
        </w:rPr>
        <w:t xml:space="preserve"> 58 named elements in the proposed profile.  However, because of nested elements and multiplicity, the true number is somewhat higher than a straight count of elements.</w:t>
      </w:r>
    </w:p>
    <w:p w14:paraId="6A05A809" w14:textId="77777777" w:rsidR="001F763F" w:rsidRPr="00785047" w:rsidRDefault="001F763F" w:rsidP="001F763F">
      <w:pPr>
        <w:pStyle w:val="NormalWeb"/>
        <w:spacing w:after="0" w:line="240" w:lineRule="auto"/>
        <w:rPr>
          <w:rFonts w:asciiTheme="minorHAnsi" w:hAnsiTheme="minorHAnsi" w:cstheme="minorHAnsi"/>
        </w:rPr>
      </w:pPr>
    </w:p>
    <w:p w14:paraId="5A39BBE3" w14:textId="77777777" w:rsidR="00BE4BB4" w:rsidRDefault="00BE4BB4">
      <w:pPr>
        <w:rPr>
          <w:rFonts w:eastAsia="Times New Roman" w:cstheme="minorHAnsi"/>
          <w:color w:val="000000"/>
        </w:rPr>
      </w:pPr>
      <w:r>
        <w:rPr>
          <w:rFonts w:cstheme="minorHAnsi"/>
          <w:color w:val="000000"/>
        </w:rPr>
        <w:br w:type="page"/>
      </w:r>
    </w:p>
    <w:p w14:paraId="41C8F396" w14:textId="77777777" w:rsidR="00A6332E" w:rsidRPr="00785047" w:rsidRDefault="00A6332E" w:rsidP="001F763F">
      <w:pPr>
        <w:pStyle w:val="NormalWeb"/>
        <w:spacing w:after="0" w:line="240" w:lineRule="auto"/>
        <w:rPr>
          <w:rFonts w:asciiTheme="minorHAnsi" w:hAnsiTheme="minorHAnsi" w:cstheme="minorHAnsi"/>
          <w:color w:val="000000"/>
        </w:rPr>
      </w:pPr>
    </w:p>
    <w:p w14:paraId="045792E4" w14:textId="3FBDCBD6" w:rsidR="001F763F" w:rsidRDefault="0BB4BDDB" w:rsidP="00A6332E">
      <w:pPr>
        <w:pStyle w:val="Heading1"/>
      </w:pPr>
      <w:r>
        <w:t>MDWG element definitions.xlsx Column Names</w:t>
      </w:r>
    </w:p>
    <w:p w14:paraId="72A3D3EC" w14:textId="77777777" w:rsidR="00B36BA9" w:rsidRDefault="00B36BA9" w:rsidP="00B36BA9"/>
    <w:tbl>
      <w:tblPr>
        <w:tblStyle w:val="TableGrid"/>
        <w:tblW w:w="9634" w:type="dxa"/>
        <w:tblLayout w:type="fixed"/>
        <w:tblLook w:val="04A0" w:firstRow="1" w:lastRow="0" w:firstColumn="1" w:lastColumn="0" w:noHBand="0" w:noVBand="1"/>
      </w:tblPr>
      <w:tblGrid>
        <w:gridCol w:w="2130"/>
        <w:gridCol w:w="7504"/>
      </w:tblGrid>
      <w:tr w:rsidR="00B36BA9" w14:paraId="15A1D727" w14:textId="77777777" w:rsidTr="0BB4BDDB">
        <w:tc>
          <w:tcPr>
            <w:tcW w:w="2130" w:type="dxa"/>
          </w:tcPr>
          <w:p w14:paraId="51975BC6" w14:textId="77777777" w:rsidR="00B36BA9" w:rsidRPr="00D264E0" w:rsidRDefault="00B36BA9" w:rsidP="00B36BA9">
            <w:pPr>
              <w:pStyle w:val="NormalWeb"/>
              <w:rPr>
                <w:rFonts w:cstheme="minorHAnsi"/>
              </w:rPr>
            </w:pPr>
            <w:r w:rsidRPr="00D264E0">
              <w:rPr>
                <w:rFonts w:asciiTheme="minorHAnsi" w:hAnsiTheme="minorHAnsi" w:cstheme="minorHAnsi"/>
              </w:rPr>
              <w:t>Package</w:t>
            </w:r>
          </w:p>
        </w:tc>
        <w:tc>
          <w:tcPr>
            <w:tcW w:w="7504" w:type="dxa"/>
          </w:tcPr>
          <w:p w14:paraId="06B2C9BE" w14:textId="77777777" w:rsidR="00B36BA9" w:rsidRPr="00D264E0" w:rsidRDefault="00B36BA9" w:rsidP="00B36BA9">
            <w:pPr>
              <w:pStyle w:val="NormalWeb"/>
              <w:rPr>
                <w:rFonts w:cstheme="minorHAnsi"/>
              </w:rPr>
            </w:pPr>
            <w:r>
              <w:rPr>
                <w:rFonts w:asciiTheme="minorHAnsi" w:hAnsiTheme="minorHAnsi" w:cstheme="minorHAnsi"/>
              </w:rPr>
              <w:t>Copied</w:t>
            </w:r>
            <w:r w:rsidRPr="00D264E0">
              <w:rPr>
                <w:rFonts w:asciiTheme="minorHAnsi" w:hAnsiTheme="minorHAnsi" w:cstheme="minorHAnsi"/>
              </w:rPr>
              <w:t xml:space="preserve"> from </w:t>
            </w:r>
            <w:r w:rsidRPr="00D264E0">
              <w:rPr>
                <w:rFonts w:asciiTheme="minorHAnsi" w:hAnsiTheme="minorHAnsi" w:cstheme="minorHAnsi"/>
                <w:color w:val="000000"/>
              </w:rPr>
              <w:t xml:space="preserve">“Metadata Mappings Between </w:t>
            </w:r>
            <w:proofErr w:type="spellStart"/>
            <w:r w:rsidRPr="00D264E0">
              <w:rPr>
                <w:rFonts w:asciiTheme="minorHAnsi" w:hAnsiTheme="minorHAnsi" w:cstheme="minorHAnsi"/>
                <w:color w:val="000000"/>
              </w:rPr>
              <w:t>Profiles_main</w:t>
            </w:r>
            <w:proofErr w:type="spellEnd"/>
            <w:r w:rsidRPr="00D264E0">
              <w:rPr>
                <w:rFonts w:asciiTheme="minorHAnsi" w:hAnsiTheme="minorHAnsi" w:cstheme="minorHAnsi"/>
                <w:color w:val="000000"/>
              </w:rPr>
              <w:t xml:space="preserve"> 2.xlsx”</w:t>
            </w:r>
          </w:p>
        </w:tc>
      </w:tr>
      <w:tr w:rsidR="00B36BA9" w14:paraId="3E5AEC22" w14:textId="77777777" w:rsidTr="0BB4BDDB">
        <w:tc>
          <w:tcPr>
            <w:tcW w:w="2130" w:type="dxa"/>
          </w:tcPr>
          <w:p w14:paraId="26F3D6E7" w14:textId="77777777" w:rsidR="00B36BA9" w:rsidRPr="00D264E0" w:rsidRDefault="00B36BA9" w:rsidP="00B36BA9">
            <w:pPr>
              <w:pStyle w:val="NormalWeb"/>
              <w:rPr>
                <w:rFonts w:cstheme="minorHAnsi"/>
              </w:rPr>
            </w:pPr>
            <w:r w:rsidRPr="00D264E0">
              <w:rPr>
                <w:rFonts w:asciiTheme="minorHAnsi" w:hAnsiTheme="minorHAnsi" w:cstheme="minorHAnsi"/>
              </w:rPr>
              <w:t>Element</w:t>
            </w:r>
          </w:p>
        </w:tc>
        <w:tc>
          <w:tcPr>
            <w:tcW w:w="7504" w:type="dxa"/>
          </w:tcPr>
          <w:p w14:paraId="644975E3" w14:textId="77777777" w:rsidR="00B36BA9" w:rsidRPr="00D264E0" w:rsidRDefault="00B36BA9" w:rsidP="00B36BA9">
            <w:pPr>
              <w:pStyle w:val="NormalWeb"/>
              <w:rPr>
                <w:rFonts w:cstheme="minorHAnsi"/>
              </w:rPr>
            </w:pPr>
            <w:r>
              <w:rPr>
                <w:rFonts w:asciiTheme="minorHAnsi" w:hAnsiTheme="minorHAnsi" w:cstheme="minorHAnsi"/>
              </w:rPr>
              <w:t>Copied</w:t>
            </w:r>
            <w:r w:rsidRPr="00D264E0">
              <w:rPr>
                <w:rFonts w:asciiTheme="minorHAnsi" w:hAnsiTheme="minorHAnsi" w:cstheme="minorHAnsi"/>
              </w:rPr>
              <w:t xml:space="preserve"> from </w:t>
            </w:r>
            <w:r w:rsidRPr="00D264E0">
              <w:rPr>
                <w:rFonts w:asciiTheme="minorHAnsi" w:hAnsiTheme="minorHAnsi" w:cstheme="minorHAnsi"/>
                <w:color w:val="000000"/>
              </w:rPr>
              <w:t xml:space="preserve">“Metadata Mappings Between </w:t>
            </w:r>
            <w:proofErr w:type="spellStart"/>
            <w:r w:rsidRPr="00D264E0">
              <w:rPr>
                <w:rFonts w:asciiTheme="minorHAnsi" w:hAnsiTheme="minorHAnsi" w:cstheme="minorHAnsi"/>
                <w:color w:val="000000"/>
              </w:rPr>
              <w:t>Profiles_main</w:t>
            </w:r>
            <w:proofErr w:type="spellEnd"/>
            <w:r w:rsidRPr="00D264E0">
              <w:rPr>
                <w:rFonts w:asciiTheme="minorHAnsi" w:hAnsiTheme="minorHAnsi" w:cstheme="minorHAnsi"/>
                <w:color w:val="000000"/>
              </w:rPr>
              <w:t xml:space="preserve"> 2.xlsx”</w:t>
            </w:r>
          </w:p>
        </w:tc>
      </w:tr>
      <w:tr w:rsidR="00B36BA9" w14:paraId="0B006024" w14:textId="77777777" w:rsidTr="0BB4BDDB">
        <w:tc>
          <w:tcPr>
            <w:tcW w:w="2130" w:type="dxa"/>
          </w:tcPr>
          <w:p w14:paraId="1C6B4C8D" w14:textId="77777777" w:rsidR="00B36BA9" w:rsidRPr="00D264E0" w:rsidRDefault="00B36BA9" w:rsidP="00B36BA9">
            <w:pPr>
              <w:pStyle w:val="NormalWeb"/>
              <w:rPr>
                <w:rFonts w:cstheme="minorHAnsi"/>
              </w:rPr>
            </w:pPr>
            <w:r w:rsidRPr="00D264E0">
              <w:rPr>
                <w:rFonts w:asciiTheme="minorHAnsi" w:hAnsiTheme="minorHAnsi" w:cstheme="minorHAnsi"/>
              </w:rPr>
              <w:t>Path</w:t>
            </w:r>
          </w:p>
        </w:tc>
        <w:tc>
          <w:tcPr>
            <w:tcW w:w="7504" w:type="dxa"/>
          </w:tcPr>
          <w:p w14:paraId="63A86E9B" w14:textId="640DE34F" w:rsidR="00B36BA9" w:rsidRPr="00D264E0" w:rsidRDefault="14455611" w:rsidP="14455611">
            <w:pPr>
              <w:pStyle w:val="NormalWeb"/>
              <w:rPr>
                <w:rFonts w:asciiTheme="minorHAnsi" w:hAnsiTheme="minorHAnsi" w:cstheme="minorBidi"/>
              </w:rPr>
            </w:pPr>
            <w:r w:rsidRPr="14455611">
              <w:rPr>
                <w:rFonts w:asciiTheme="minorHAnsi" w:hAnsiTheme="minorHAnsi" w:cstheme="minorBidi"/>
              </w:rPr>
              <w:t>The full ISO nested path to the element, expressed in CSS fashion using &gt; for descendant elements, and + for sibling elements</w:t>
            </w:r>
          </w:p>
        </w:tc>
      </w:tr>
      <w:tr w:rsidR="00B36BA9" w14:paraId="502978A6" w14:textId="77777777" w:rsidTr="0BB4BDDB">
        <w:tc>
          <w:tcPr>
            <w:tcW w:w="2130" w:type="dxa"/>
          </w:tcPr>
          <w:p w14:paraId="2E39FBDC" w14:textId="77777777" w:rsidR="00B36BA9" w:rsidRPr="00D264E0" w:rsidRDefault="00B36BA9" w:rsidP="00B36BA9">
            <w:pPr>
              <w:pStyle w:val="NormalWeb"/>
              <w:rPr>
                <w:rFonts w:cstheme="minorHAnsi"/>
              </w:rPr>
            </w:pPr>
            <w:r w:rsidRPr="00D264E0">
              <w:rPr>
                <w:rFonts w:asciiTheme="minorHAnsi" w:hAnsiTheme="minorHAnsi" w:cstheme="minorHAnsi"/>
              </w:rPr>
              <w:t xml:space="preserve">ISO definitions </w:t>
            </w:r>
          </w:p>
        </w:tc>
        <w:tc>
          <w:tcPr>
            <w:tcW w:w="7504" w:type="dxa"/>
          </w:tcPr>
          <w:p w14:paraId="20A202FB" w14:textId="77777777" w:rsidR="00B36BA9" w:rsidRPr="00D264E0" w:rsidRDefault="00B36BA9" w:rsidP="00B36BA9">
            <w:pPr>
              <w:pStyle w:val="NormalWeb"/>
              <w:rPr>
                <w:rFonts w:cstheme="minorHAnsi"/>
              </w:rPr>
            </w:pPr>
            <w:r>
              <w:rPr>
                <w:rFonts w:asciiTheme="minorHAnsi" w:hAnsiTheme="minorHAnsi" w:cstheme="minorHAnsi"/>
              </w:rPr>
              <w:t>S</w:t>
            </w:r>
            <w:r w:rsidRPr="00D264E0">
              <w:rPr>
                <w:rFonts w:asciiTheme="minorHAnsi" w:hAnsiTheme="minorHAnsi" w:cstheme="minorHAnsi"/>
              </w:rPr>
              <w:t>tring of linked definitions in alignment with the ISO nested path</w:t>
            </w:r>
          </w:p>
        </w:tc>
      </w:tr>
      <w:tr w:rsidR="00B36BA9" w14:paraId="75DCA3EA" w14:textId="77777777" w:rsidTr="0BB4BDDB">
        <w:tc>
          <w:tcPr>
            <w:tcW w:w="2130" w:type="dxa"/>
          </w:tcPr>
          <w:p w14:paraId="0D005AD6" w14:textId="77777777" w:rsidR="00B36BA9" w:rsidRPr="00D264E0" w:rsidRDefault="00B36BA9" w:rsidP="00B36BA9">
            <w:pPr>
              <w:pStyle w:val="NormalWeb"/>
              <w:rPr>
                <w:rFonts w:cstheme="minorHAnsi"/>
              </w:rPr>
            </w:pPr>
            <w:r>
              <w:rPr>
                <w:rFonts w:asciiTheme="minorHAnsi" w:hAnsiTheme="minorHAnsi" w:cstheme="minorHAnsi"/>
              </w:rPr>
              <w:t xml:space="preserve">ISO </w:t>
            </w:r>
            <w:r w:rsidRPr="00D264E0">
              <w:rPr>
                <w:rFonts w:asciiTheme="minorHAnsi" w:hAnsiTheme="minorHAnsi" w:cstheme="minorHAnsi"/>
              </w:rPr>
              <w:t>definition summary</w:t>
            </w:r>
          </w:p>
        </w:tc>
        <w:tc>
          <w:tcPr>
            <w:tcW w:w="7504" w:type="dxa"/>
          </w:tcPr>
          <w:p w14:paraId="04CE9CBE" w14:textId="77777777" w:rsidR="00B36BA9" w:rsidRPr="00D264E0" w:rsidRDefault="00B36BA9" w:rsidP="00B36BA9">
            <w:pPr>
              <w:pStyle w:val="NormalWeb"/>
              <w:rPr>
                <w:rFonts w:cstheme="minorHAnsi"/>
              </w:rPr>
            </w:pPr>
            <w:r>
              <w:rPr>
                <w:rFonts w:asciiTheme="minorHAnsi" w:hAnsiTheme="minorHAnsi" w:cstheme="minorHAnsi"/>
              </w:rPr>
              <w:t>A</w:t>
            </w:r>
            <w:r w:rsidRPr="00D264E0">
              <w:rPr>
                <w:rFonts w:asciiTheme="minorHAnsi" w:hAnsiTheme="minorHAnsi" w:cstheme="minorHAnsi"/>
              </w:rPr>
              <w:t xml:space="preserve"> more human readable definition derived from the string of definitions in the ISO Definition field</w:t>
            </w:r>
          </w:p>
        </w:tc>
      </w:tr>
      <w:tr w:rsidR="00B36BA9" w14:paraId="1408E141" w14:textId="77777777" w:rsidTr="0BB4BDDB">
        <w:tc>
          <w:tcPr>
            <w:tcW w:w="2130" w:type="dxa"/>
          </w:tcPr>
          <w:p w14:paraId="7E67C9A5" w14:textId="77777777" w:rsidR="00B36BA9" w:rsidRPr="00D264E0" w:rsidRDefault="00B36BA9" w:rsidP="00B36BA9">
            <w:pPr>
              <w:pStyle w:val="NormalWeb"/>
              <w:rPr>
                <w:rFonts w:cstheme="minorHAnsi"/>
              </w:rPr>
            </w:pPr>
            <w:r w:rsidRPr="00D264E0">
              <w:rPr>
                <w:rFonts w:asciiTheme="minorHAnsi" w:hAnsiTheme="minorHAnsi" w:cstheme="minorHAnsi"/>
              </w:rPr>
              <w:t>ABARES Definition</w:t>
            </w:r>
          </w:p>
        </w:tc>
        <w:tc>
          <w:tcPr>
            <w:tcW w:w="7504" w:type="dxa"/>
          </w:tcPr>
          <w:p w14:paraId="3CDCE465" w14:textId="77777777" w:rsidR="00B36BA9" w:rsidRPr="00D264E0" w:rsidRDefault="00B36BA9" w:rsidP="00B36BA9">
            <w:pPr>
              <w:pStyle w:val="NormalWeb"/>
              <w:rPr>
                <w:rFonts w:cstheme="minorHAnsi"/>
              </w:rPr>
            </w:pPr>
            <w:r>
              <w:rPr>
                <w:rFonts w:asciiTheme="minorHAnsi" w:hAnsiTheme="minorHAnsi" w:cstheme="minorHAnsi"/>
              </w:rPr>
              <w:t>Copied</w:t>
            </w:r>
            <w:r w:rsidRPr="00D264E0">
              <w:rPr>
                <w:rFonts w:asciiTheme="minorHAnsi" w:hAnsiTheme="minorHAnsi" w:cstheme="minorHAnsi"/>
              </w:rPr>
              <w:t xml:space="preserve"> from “draftDataMetadataReqV0.4.xlsx” supplied by Evert </w:t>
            </w:r>
            <w:proofErr w:type="spellStart"/>
            <w:r w:rsidRPr="00D264E0">
              <w:rPr>
                <w:rFonts w:asciiTheme="minorHAnsi" w:hAnsiTheme="minorHAnsi" w:cstheme="minorHAnsi"/>
              </w:rPr>
              <w:t>Bleys</w:t>
            </w:r>
            <w:proofErr w:type="spellEnd"/>
          </w:p>
        </w:tc>
      </w:tr>
      <w:tr w:rsidR="00B36BA9" w14:paraId="0B970F76" w14:textId="77777777" w:rsidTr="0BB4BDDB">
        <w:tc>
          <w:tcPr>
            <w:tcW w:w="2130" w:type="dxa"/>
          </w:tcPr>
          <w:p w14:paraId="79A1E7BD" w14:textId="77777777" w:rsidR="00B36BA9" w:rsidRPr="00D264E0" w:rsidRDefault="00B36BA9" w:rsidP="00B36BA9">
            <w:pPr>
              <w:pStyle w:val="NormalWeb"/>
              <w:rPr>
                <w:rFonts w:cstheme="minorHAnsi"/>
              </w:rPr>
            </w:pPr>
            <w:r w:rsidRPr="00D264E0">
              <w:rPr>
                <w:rFonts w:asciiTheme="minorHAnsi" w:hAnsiTheme="minorHAnsi" w:cstheme="minorHAnsi"/>
              </w:rPr>
              <w:t>ABARES help</w:t>
            </w:r>
          </w:p>
        </w:tc>
        <w:tc>
          <w:tcPr>
            <w:tcW w:w="7504" w:type="dxa"/>
          </w:tcPr>
          <w:p w14:paraId="33E14E15" w14:textId="77777777" w:rsidR="00B36BA9" w:rsidRPr="00D264E0" w:rsidRDefault="00B36BA9" w:rsidP="00B36BA9">
            <w:pPr>
              <w:pStyle w:val="NormalWeb"/>
              <w:rPr>
                <w:rFonts w:cstheme="minorHAnsi"/>
              </w:rPr>
            </w:pPr>
            <w:r>
              <w:rPr>
                <w:rFonts w:asciiTheme="minorHAnsi" w:hAnsiTheme="minorHAnsi" w:cstheme="minorHAnsi"/>
              </w:rPr>
              <w:t>Copied</w:t>
            </w:r>
            <w:r w:rsidRPr="00D264E0">
              <w:rPr>
                <w:rFonts w:asciiTheme="minorHAnsi" w:hAnsiTheme="minorHAnsi" w:cstheme="minorHAnsi"/>
              </w:rPr>
              <w:t xml:space="preserve"> from “draftDataMetadataReqV0.4.xlsx” supplied by Evert </w:t>
            </w:r>
            <w:proofErr w:type="spellStart"/>
            <w:r w:rsidRPr="00D264E0">
              <w:rPr>
                <w:rFonts w:asciiTheme="minorHAnsi" w:hAnsiTheme="minorHAnsi" w:cstheme="minorHAnsi"/>
              </w:rPr>
              <w:t>Bleys</w:t>
            </w:r>
            <w:proofErr w:type="spellEnd"/>
          </w:p>
        </w:tc>
      </w:tr>
      <w:tr w:rsidR="00B36BA9" w14:paraId="3ACAF4BD" w14:textId="77777777" w:rsidTr="0BB4BDDB">
        <w:tc>
          <w:tcPr>
            <w:tcW w:w="2130" w:type="dxa"/>
          </w:tcPr>
          <w:p w14:paraId="5ABFC7A0" w14:textId="77777777" w:rsidR="00B36BA9" w:rsidRPr="00D264E0" w:rsidRDefault="00B36BA9" w:rsidP="00B36BA9">
            <w:pPr>
              <w:pStyle w:val="NormalWeb"/>
              <w:rPr>
                <w:rFonts w:cstheme="minorHAnsi"/>
              </w:rPr>
            </w:pPr>
            <w:r w:rsidRPr="00D264E0">
              <w:rPr>
                <w:rFonts w:asciiTheme="minorHAnsi" w:hAnsiTheme="minorHAnsi" w:cstheme="minorHAnsi"/>
              </w:rPr>
              <w:t>GA Attribute Justification</w:t>
            </w:r>
          </w:p>
        </w:tc>
        <w:tc>
          <w:tcPr>
            <w:tcW w:w="7504" w:type="dxa"/>
          </w:tcPr>
          <w:p w14:paraId="556A81BF" w14:textId="77777777" w:rsidR="00B36BA9" w:rsidRPr="00D264E0" w:rsidRDefault="00B36BA9" w:rsidP="00B36BA9">
            <w:pPr>
              <w:pStyle w:val="NormalWeb"/>
              <w:rPr>
                <w:rFonts w:cstheme="minorHAnsi"/>
              </w:rPr>
            </w:pPr>
            <w:r>
              <w:rPr>
                <w:rFonts w:asciiTheme="minorHAnsi" w:hAnsiTheme="minorHAnsi" w:cstheme="minorHAnsi"/>
              </w:rPr>
              <w:t>Copied</w:t>
            </w:r>
            <w:r w:rsidRPr="00D264E0">
              <w:rPr>
                <w:rFonts w:asciiTheme="minorHAnsi" w:hAnsiTheme="minorHAnsi" w:cstheme="minorHAnsi"/>
              </w:rPr>
              <w:t xml:space="preserve"> from </w:t>
            </w:r>
            <w:r w:rsidRPr="00D264E0">
              <w:rPr>
                <w:rFonts w:asciiTheme="minorHAnsi" w:hAnsiTheme="minorHAnsi" w:cstheme="minorHAnsi"/>
                <w:color w:val="000000"/>
              </w:rPr>
              <w:t>“GA Profile 19115_1 0.2 draft.pdf”</w:t>
            </w:r>
          </w:p>
        </w:tc>
      </w:tr>
      <w:tr w:rsidR="00B36BA9" w14:paraId="169D8250" w14:textId="77777777" w:rsidTr="0BB4BDDB">
        <w:tc>
          <w:tcPr>
            <w:tcW w:w="2130" w:type="dxa"/>
          </w:tcPr>
          <w:p w14:paraId="653F3DD1" w14:textId="77777777" w:rsidR="00B36BA9" w:rsidRPr="00D264E0" w:rsidRDefault="00B36BA9" w:rsidP="00B36BA9">
            <w:pPr>
              <w:pStyle w:val="NormalWeb"/>
              <w:rPr>
                <w:rFonts w:cstheme="minorHAnsi"/>
              </w:rPr>
            </w:pPr>
            <w:r w:rsidRPr="00D264E0">
              <w:rPr>
                <w:rFonts w:asciiTheme="minorHAnsi" w:hAnsiTheme="minorHAnsi" w:cstheme="minorHAnsi"/>
              </w:rPr>
              <w:t>GA Other Uses</w:t>
            </w:r>
          </w:p>
        </w:tc>
        <w:tc>
          <w:tcPr>
            <w:tcW w:w="7504" w:type="dxa"/>
          </w:tcPr>
          <w:p w14:paraId="4FB452C3" w14:textId="404208AD" w:rsidR="00B36BA9" w:rsidRPr="00D264E0" w:rsidRDefault="0BB4BDDB" w:rsidP="0BB4BDDB">
            <w:pPr>
              <w:pStyle w:val="NormalWeb"/>
              <w:rPr>
                <w:rFonts w:asciiTheme="minorHAnsi" w:hAnsiTheme="minorHAnsi" w:cstheme="minorBidi"/>
                <w:color w:val="000000" w:themeColor="text1"/>
              </w:rPr>
            </w:pPr>
            <w:r w:rsidRPr="0BB4BDDB">
              <w:rPr>
                <w:rFonts w:asciiTheme="minorHAnsi" w:hAnsiTheme="minorHAnsi" w:cstheme="minorBidi"/>
              </w:rPr>
              <w:t xml:space="preserve">Copied from </w:t>
            </w:r>
            <w:r w:rsidRPr="0BB4BDDB">
              <w:rPr>
                <w:rFonts w:asciiTheme="minorHAnsi" w:hAnsiTheme="minorHAnsi" w:cstheme="minorBidi"/>
                <w:color w:val="000000" w:themeColor="text1"/>
              </w:rPr>
              <w:t>“GA Profile 19115_1 0.2 draft.pdf”</w:t>
            </w:r>
          </w:p>
        </w:tc>
      </w:tr>
      <w:tr w:rsidR="00B36BA9" w14:paraId="2F1292CE" w14:textId="77777777" w:rsidTr="0BB4BDDB">
        <w:tc>
          <w:tcPr>
            <w:tcW w:w="2130" w:type="dxa"/>
          </w:tcPr>
          <w:p w14:paraId="46E38DBC" w14:textId="66B5121D" w:rsidR="00B36BA9" w:rsidRPr="0010396D" w:rsidRDefault="0BB4BDDB" w:rsidP="0BB4BDDB">
            <w:pPr>
              <w:pStyle w:val="NormalWeb"/>
              <w:rPr>
                <w:rFonts w:asciiTheme="minorHAnsi" w:hAnsiTheme="minorHAnsi" w:cstheme="minorBidi"/>
              </w:rPr>
            </w:pPr>
            <w:r w:rsidRPr="0BB4BDDB">
              <w:rPr>
                <w:rFonts w:asciiTheme="minorHAnsi" w:hAnsiTheme="minorHAnsi" w:cstheme="minorBidi"/>
              </w:rPr>
              <w:t xml:space="preserve">Data.gov.au refs </w:t>
            </w:r>
          </w:p>
        </w:tc>
        <w:tc>
          <w:tcPr>
            <w:tcW w:w="7504" w:type="dxa"/>
          </w:tcPr>
          <w:p w14:paraId="36D66E3C" w14:textId="77777777" w:rsidR="00B36BA9" w:rsidRPr="00D264E0" w:rsidRDefault="00B36BA9" w:rsidP="00B36BA9">
            <w:pPr>
              <w:pStyle w:val="NormalWeb"/>
              <w:rPr>
                <w:rFonts w:cstheme="minorHAnsi"/>
              </w:rPr>
            </w:pPr>
            <w:r>
              <w:rPr>
                <w:rFonts w:cstheme="minorHAnsi"/>
              </w:rPr>
              <w:t xml:space="preserve">Sourced from </w:t>
            </w:r>
            <w:r w:rsidRPr="0010396D">
              <w:rPr>
                <w:rFonts w:cstheme="minorHAnsi"/>
              </w:rPr>
              <w:t>https://toolkit.data.gov.au/index.php/Discovering_Metadata</w:t>
            </w:r>
          </w:p>
        </w:tc>
      </w:tr>
      <w:tr w:rsidR="00B36BA9" w14:paraId="235AD5E9" w14:textId="77777777" w:rsidTr="0BB4BDDB">
        <w:tc>
          <w:tcPr>
            <w:tcW w:w="2130" w:type="dxa"/>
          </w:tcPr>
          <w:p w14:paraId="770616D5" w14:textId="77777777" w:rsidR="00B36BA9" w:rsidRPr="0010396D" w:rsidRDefault="00B36BA9" w:rsidP="00B36BA9">
            <w:pPr>
              <w:pStyle w:val="NormalWeb"/>
              <w:rPr>
                <w:rFonts w:asciiTheme="minorHAnsi" w:hAnsiTheme="minorHAnsi" w:cstheme="minorHAnsi"/>
              </w:rPr>
            </w:pPr>
            <w:r>
              <w:rPr>
                <w:rFonts w:asciiTheme="minorHAnsi" w:hAnsiTheme="minorHAnsi" w:cstheme="minorHAnsi"/>
              </w:rPr>
              <w:t>Data.gov.au notes</w:t>
            </w:r>
          </w:p>
        </w:tc>
        <w:tc>
          <w:tcPr>
            <w:tcW w:w="7504" w:type="dxa"/>
          </w:tcPr>
          <w:p w14:paraId="0964DE69" w14:textId="77777777" w:rsidR="00B36BA9" w:rsidRPr="0010396D" w:rsidRDefault="00B36BA9" w:rsidP="00B36BA9">
            <w:pPr>
              <w:pStyle w:val="NormalWeb"/>
              <w:rPr>
                <w:rFonts w:asciiTheme="minorHAnsi" w:hAnsiTheme="minorHAnsi" w:cstheme="minorHAnsi"/>
              </w:rPr>
            </w:pPr>
            <w:r>
              <w:rPr>
                <w:rFonts w:cstheme="minorHAnsi"/>
              </w:rPr>
              <w:t xml:space="preserve">Sourced from </w:t>
            </w:r>
            <w:r w:rsidRPr="0010396D">
              <w:rPr>
                <w:rFonts w:cstheme="minorHAnsi"/>
              </w:rPr>
              <w:t>https://toolkit.data.gov.au/index.php/Discovering_Metadata</w:t>
            </w:r>
          </w:p>
        </w:tc>
      </w:tr>
      <w:tr w:rsidR="00B36BA9" w14:paraId="53E7462F" w14:textId="77777777" w:rsidTr="0BB4BDDB">
        <w:tc>
          <w:tcPr>
            <w:tcW w:w="2130" w:type="dxa"/>
          </w:tcPr>
          <w:p w14:paraId="33E50D54" w14:textId="77777777" w:rsidR="00B36BA9" w:rsidRPr="0010396D" w:rsidRDefault="00B36BA9" w:rsidP="00B36BA9">
            <w:pPr>
              <w:pStyle w:val="NormalWeb"/>
              <w:rPr>
                <w:rFonts w:asciiTheme="minorHAnsi" w:hAnsiTheme="minorHAnsi" w:cstheme="minorHAnsi"/>
              </w:rPr>
            </w:pPr>
            <w:r w:rsidRPr="0010396D">
              <w:rPr>
                <w:rFonts w:asciiTheme="minorHAnsi" w:hAnsiTheme="minorHAnsi" w:cstheme="minorHAnsi"/>
              </w:rPr>
              <w:t xml:space="preserve">DCAT </w:t>
            </w:r>
            <w:proofErr w:type="spellStart"/>
            <w:r w:rsidRPr="0010396D">
              <w:rPr>
                <w:rFonts w:asciiTheme="minorHAnsi" w:hAnsiTheme="minorHAnsi" w:cstheme="minorHAnsi"/>
              </w:rPr>
              <w:t>Defs</w:t>
            </w:r>
            <w:proofErr w:type="spellEnd"/>
          </w:p>
        </w:tc>
        <w:tc>
          <w:tcPr>
            <w:tcW w:w="7504" w:type="dxa"/>
          </w:tcPr>
          <w:p w14:paraId="3411B6BC" w14:textId="77777777" w:rsidR="00B36BA9" w:rsidRPr="0010396D" w:rsidRDefault="00B36BA9" w:rsidP="00B36BA9">
            <w:pPr>
              <w:pStyle w:val="NormalWeb"/>
              <w:rPr>
                <w:rFonts w:asciiTheme="minorHAnsi" w:hAnsiTheme="minorHAnsi" w:cstheme="minorHAnsi"/>
              </w:rPr>
            </w:pPr>
            <w:r>
              <w:rPr>
                <w:rFonts w:asciiTheme="minorHAnsi" w:hAnsiTheme="minorHAnsi" w:cstheme="minorHAnsi"/>
              </w:rPr>
              <w:t xml:space="preserve">Sourced from </w:t>
            </w:r>
            <w:r w:rsidRPr="0010396D">
              <w:rPr>
                <w:rFonts w:asciiTheme="minorHAnsi" w:hAnsiTheme="minorHAnsi" w:cstheme="minorHAnsi"/>
              </w:rPr>
              <w:t>https://w3c.github.io/dxwg/dcat/#Property:record_update_date</w:t>
            </w:r>
          </w:p>
        </w:tc>
      </w:tr>
      <w:tr w:rsidR="00B36BA9" w14:paraId="7483D673" w14:textId="77777777" w:rsidTr="0BB4BDDB">
        <w:tc>
          <w:tcPr>
            <w:tcW w:w="2130" w:type="dxa"/>
          </w:tcPr>
          <w:p w14:paraId="387B3F55" w14:textId="77777777" w:rsidR="00B36BA9" w:rsidRPr="0010396D" w:rsidRDefault="00B36BA9" w:rsidP="00B36BA9">
            <w:pPr>
              <w:pStyle w:val="NormalWeb"/>
              <w:rPr>
                <w:rFonts w:asciiTheme="minorHAnsi" w:hAnsiTheme="minorHAnsi" w:cstheme="minorHAnsi"/>
              </w:rPr>
            </w:pPr>
            <w:r>
              <w:rPr>
                <w:rFonts w:asciiTheme="minorHAnsi" w:hAnsiTheme="minorHAnsi" w:cstheme="minorHAnsi"/>
              </w:rPr>
              <w:t>DCAT Notes</w:t>
            </w:r>
          </w:p>
        </w:tc>
        <w:tc>
          <w:tcPr>
            <w:tcW w:w="7504" w:type="dxa"/>
          </w:tcPr>
          <w:p w14:paraId="78DF0FEB" w14:textId="77777777" w:rsidR="00B36BA9" w:rsidRPr="0010396D" w:rsidRDefault="00B36BA9" w:rsidP="00B36BA9">
            <w:pPr>
              <w:pStyle w:val="NormalWeb"/>
              <w:rPr>
                <w:rFonts w:asciiTheme="minorHAnsi" w:hAnsiTheme="minorHAnsi" w:cstheme="minorHAnsi"/>
              </w:rPr>
            </w:pPr>
            <w:r>
              <w:rPr>
                <w:rFonts w:asciiTheme="minorHAnsi" w:hAnsiTheme="minorHAnsi" w:cstheme="minorHAnsi"/>
              </w:rPr>
              <w:t xml:space="preserve">Sourced from the spreadsheet </w:t>
            </w:r>
            <w:r w:rsidRPr="00462711">
              <w:rPr>
                <w:rFonts w:asciiTheme="minorHAnsi" w:hAnsiTheme="minorHAnsi" w:cstheme="minorHAnsi"/>
              </w:rPr>
              <w:t>DCAT-ISO19115-mapping</w:t>
            </w:r>
            <w:r>
              <w:rPr>
                <w:rFonts w:asciiTheme="minorHAnsi" w:hAnsiTheme="minorHAnsi" w:cstheme="minorHAnsi"/>
              </w:rPr>
              <w:t>.xlsx supplied by Nick Car</w:t>
            </w:r>
          </w:p>
        </w:tc>
      </w:tr>
      <w:tr w:rsidR="00B36BA9" w14:paraId="70D23891" w14:textId="77777777" w:rsidTr="0BB4BDDB">
        <w:tc>
          <w:tcPr>
            <w:tcW w:w="2130" w:type="dxa"/>
          </w:tcPr>
          <w:p w14:paraId="425366AF" w14:textId="77777777" w:rsidR="00B36BA9" w:rsidRPr="00D264E0" w:rsidRDefault="00B36BA9" w:rsidP="00B36BA9">
            <w:pPr>
              <w:pStyle w:val="NormalWeb"/>
              <w:rPr>
                <w:rFonts w:cstheme="minorHAnsi"/>
              </w:rPr>
            </w:pPr>
            <w:r w:rsidRPr="00D264E0">
              <w:rPr>
                <w:rFonts w:asciiTheme="minorHAnsi" w:hAnsiTheme="minorHAnsi" w:cstheme="minorHAnsi"/>
              </w:rPr>
              <w:t>ABARES Example</w:t>
            </w:r>
          </w:p>
        </w:tc>
        <w:tc>
          <w:tcPr>
            <w:tcW w:w="7504" w:type="dxa"/>
          </w:tcPr>
          <w:p w14:paraId="32A1829C" w14:textId="77777777" w:rsidR="00B36BA9" w:rsidRPr="00D264E0" w:rsidRDefault="00B36BA9" w:rsidP="00B36BA9">
            <w:pPr>
              <w:pStyle w:val="NormalWeb"/>
              <w:rPr>
                <w:rFonts w:cstheme="minorHAnsi"/>
              </w:rPr>
            </w:pPr>
            <w:r>
              <w:rPr>
                <w:rFonts w:asciiTheme="minorHAnsi" w:hAnsiTheme="minorHAnsi" w:cstheme="minorHAnsi"/>
              </w:rPr>
              <w:t xml:space="preserve">Sourced from </w:t>
            </w:r>
            <w:r w:rsidRPr="00D264E0">
              <w:rPr>
                <w:rFonts w:asciiTheme="minorHAnsi" w:hAnsiTheme="minorHAnsi" w:cstheme="minorHAnsi"/>
              </w:rPr>
              <w:t xml:space="preserve">“test.xml”  ISO 19115-3 record supplied for example by </w:t>
            </w:r>
            <w:proofErr w:type="spellStart"/>
            <w:r w:rsidRPr="00D264E0">
              <w:rPr>
                <w:rFonts w:asciiTheme="minorHAnsi" w:hAnsiTheme="minorHAnsi" w:cstheme="minorHAnsi"/>
              </w:rPr>
              <w:t>by</w:t>
            </w:r>
            <w:proofErr w:type="spellEnd"/>
            <w:r w:rsidRPr="00D264E0">
              <w:rPr>
                <w:rFonts w:asciiTheme="minorHAnsi" w:hAnsiTheme="minorHAnsi" w:cstheme="minorHAnsi"/>
              </w:rPr>
              <w:t xml:space="preserve"> Evert</w:t>
            </w:r>
          </w:p>
        </w:tc>
      </w:tr>
      <w:tr w:rsidR="00B36BA9" w14:paraId="4830C70C" w14:textId="77777777" w:rsidTr="0BB4BDDB">
        <w:tc>
          <w:tcPr>
            <w:tcW w:w="2130" w:type="dxa"/>
          </w:tcPr>
          <w:p w14:paraId="70CE51CD" w14:textId="77777777" w:rsidR="00B36BA9" w:rsidRPr="00D264E0" w:rsidRDefault="00B36BA9" w:rsidP="00B36BA9">
            <w:pPr>
              <w:pStyle w:val="NormalWeb"/>
              <w:rPr>
                <w:rFonts w:cstheme="minorHAnsi"/>
              </w:rPr>
            </w:pPr>
            <w:r w:rsidRPr="00D264E0">
              <w:rPr>
                <w:rFonts w:asciiTheme="minorHAnsi" w:hAnsiTheme="minorHAnsi" w:cstheme="minorHAnsi"/>
              </w:rPr>
              <w:t>GA Example</w:t>
            </w:r>
          </w:p>
        </w:tc>
        <w:tc>
          <w:tcPr>
            <w:tcW w:w="7504" w:type="dxa"/>
          </w:tcPr>
          <w:p w14:paraId="69AF1288" w14:textId="77777777" w:rsidR="00B36BA9" w:rsidRPr="00D264E0" w:rsidRDefault="00B36BA9" w:rsidP="00B36BA9">
            <w:pPr>
              <w:pStyle w:val="NormalWeb"/>
              <w:rPr>
                <w:rFonts w:cstheme="minorHAnsi"/>
              </w:rPr>
            </w:pPr>
            <w:r w:rsidRPr="00D264E0">
              <w:rPr>
                <w:rFonts w:asciiTheme="minorHAnsi" w:hAnsiTheme="minorHAnsi" w:cstheme="minorHAnsi"/>
              </w:rPr>
              <w:t xml:space="preserve"> </w:t>
            </w:r>
            <w:r>
              <w:rPr>
                <w:rFonts w:asciiTheme="minorHAnsi" w:hAnsiTheme="minorHAnsi" w:cstheme="minorHAnsi"/>
              </w:rPr>
              <w:t xml:space="preserve">Sourced </w:t>
            </w:r>
            <w:proofErr w:type="spellStart"/>
            <w:r>
              <w:rPr>
                <w:rFonts w:asciiTheme="minorHAnsi" w:hAnsiTheme="minorHAnsi" w:cstheme="minorHAnsi"/>
              </w:rPr>
              <w:t>from</w:t>
            </w:r>
            <w:r w:rsidRPr="00D264E0">
              <w:rPr>
                <w:rFonts w:asciiTheme="minorHAnsi" w:hAnsiTheme="minorHAnsi" w:cstheme="minorHAnsi"/>
                <w:color w:val="000000"/>
              </w:rPr>
              <w:t>“Geomorphic</w:t>
            </w:r>
            <w:proofErr w:type="spellEnd"/>
            <w:r w:rsidRPr="00D264E0">
              <w:rPr>
                <w:rFonts w:asciiTheme="minorHAnsi" w:hAnsiTheme="minorHAnsi" w:cstheme="minorHAnsi"/>
                <w:color w:val="000000"/>
              </w:rPr>
              <w:t xml:space="preserve"> features of the Antarctic and Southern Ocean 2012” - </w:t>
            </w:r>
            <w:hyperlink r:id="rId9" w:history="1">
              <w:r w:rsidRPr="00D264E0">
                <w:rPr>
                  <w:rStyle w:val="Hyperlink"/>
                  <w:rFonts w:asciiTheme="minorHAnsi" w:hAnsiTheme="minorHAnsi" w:cstheme="minorHAnsi"/>
                </w:rPr>
                <w:t>http://www.ga.gov.au/metadata-gateway/metadata/record/102441</w:t>
              </w:r>
            </w:hyperlink>
          </w:p>
        </w:tc>
      </w:tr>
      <w:tr w:rsidR="00B36BA9" w14:paraId="3B39B932" w14:textId="77777777" w:rsidTr="0BB4BDDB">
        <w:tc>
          <w:tcPr>
            <w:tcW w:w="2130" w:type="dxa"/>
          </w:tcPr>
          <w:p w14:paraId="39ED03DB" w14:textId="77777777" w:rsidR="00B36BA9" w:rsidRDefault="00B36BA9" w:rsidP="00B36BA9">
            <w:pPr>
              <w:pStyle w:val="NormalWeb"/>
              <w:spacing w:after="0" w:line="240" w:lineRule="auto"/>
              <w:rPr>
                <w:rFonts w:asciiTheme="minorHAnsi" w:hAnsiTheme="minorHAnsi" w:cstheme="minorHAnsi"/>
              </w:rPr>
            </w:pPr>
            <w:r>
              <w:rPr>
                <w:rFonts w:asciiTheme="minorHAnsi" w:hAnsiTheme="minorHAnsi" w:cstheme="minorHAnsi"/>
              </w:rPr>
              <w:t>Data.gov.au example</w:t>
            </w:r>
          </w:p>
        </w:tc>
        <w:tc>
          <w:tcPr>
            <w:tcW w:w="7504" w:type="dxa"/>
          </w:tcPr>
          <w:p w14:paraId="179F8A75" w14:textId="77777777" w:rsidR="00B36BA9" w:rsidRPr="0010396D" w:rsidRDefault="00B36BA9" w:rsidP="00B36BA9">
            <w:pPr>
              <w:pStyle w:val="NormalWeb"/>
              <w:rPr>
                <w:rFonts w:asciiTheme="minorHAnsi" w:hAnsiTheme="minorHAnsi" w:cstheme="minorHAnsi"/>
              </w:rPr>
            </w:pPr>
            <w:r>
              <w:rPr>
                <w:rFonts w:asciiTheme="minorHAnsi" w:hAnsiTheme="minorHAnsi" w:cstheme="minorHAnsi"/>
              </w:rPr>
              <w:t xml:space="preserve">Sourced from </w:t>
            </w:r>
            <w:r w:rsidRPr="0010396D">
              <w:rPr>
                <w:rFonts w:asciiTheme="minorHAnsi" w:hAnsiTheme="minorHAnsi" w:cstheme="minorHAnsi"/>
              </w:rPr>
              <w:t>https://w3c.github.io/dxwg/dcat/#Property:record_update_date</w:t>
            </w:r>
          </w:p>
        </w:tc>
      </w:tr>
      <w:tr w:rsidR="00B36BA9" w14:paraId="767B0BF9" w14:textId="77777777" w:rsidTr="0BB4BDDB">
        <w:tc>
          <w:tcPr>
            <w:tcW w:w="2130" w:type="dxa"/>
          </w:tcPr>
          <w:p w14:paraId="50539D94" w14:textId="77777777" w:rsidR="00B36BA9" w:rsidRDefault="00B36BA9" w:rsidP="00B36BA9">
            <w:pPr>
              <w:pStyle w:val="NormalWeb"/>
              <w:spacing w:after="0" w:line="240" w:lineRule="auto"/>
              <w:rPr>
                <w:rFonts w:asciiTheme="minorHAnsi" w:hAnsiTheme="minorHAnsi" w:cstheme="minorHAnsi"/>
              </w:rPr>
            </w:pPr>
            <w:r>
              <w:rPr>
                <w:rFonts w:asciiTheme="minorHAnsi" w:hAnsiTheme="minorHAnsi" w:cstheme="minorHAnsi"/>
              </w:rPr>
              <w:t>OWL Notes</w:t>
            </w:r>
          </w:p>
        </w:tc>
        <w:tc>
          <w:tcPr>
            <w:tcW w:w="7504" w:type="dxa"/>
          </w:tcPr>
          <w:p w14:paraId="6C741A59" w14:textId="77777777" w:rsidR="00B36BA9" w:rsidRDefault="00B36BA9" w:rsidP="00B36BA9">
            <w:pPr>
              <w:pStyle w:val="NormalWeb"/>
              <w:spacing w:after="0" w:line="240" w:lineRule="auto"/>
              <w:rPr>
                <w:rFonts w:asciiTheme="minorHAnsi" w:hAnsiTheme="minorHAnsi" w:cstheme="minorHAnsi"/>
              </w:rPr>
            </w:pPr>
            <w:r>
              <w:rPr>
                <w:rFonts w:asciiTheme="minorHAnsi" w:hAnsiTheme="minorHAnsi" w:cstheme="minorHAnsi"/>
              </w:rPr>
              <w:t>Our comments on identified issues</w:t>
            </w:r>
          </w:p>
        </w:tc>
      </w:tr>
    </w:tbl>
    <w:p w14:paraId="0D0B940D" w14:textId="77777777" w:rsidR="00B36BA9" w:rsidRDefault="00B36BA9" w:rsidP="00B36BA9"/>
    <w:p w14:paraId="228A386E" w14:textId="77777777" w:rsidR="00B36BA9" w:rsidRDefault="00B36BA9" w:rsidP="00B36BA9">
      <w:r>
        <w:t>Yellow highlights areas of concern</w:t>
      </w:r>
    </w:p>
    <w:p w14:paraId="686A6B61" w14:textId="77777777" w:rsidR="00B36BA9" w:rsidRPr="00B36BA9" w:rsidRDefault="00B36BA9" w:rsidP="00B36BA9">
      <w:r>
        <w:t>Orange highlight focus areas unaddressed in this report - keywords</w:t>
      </w:r>
    </w:p>
    <w:p w14:paraId="0E27B00A" w14:textId="77777777" w:rsidR="00785047" w:rsidRPr="00785047" w:rsidRDefault="00785047" w:rsidP="00785047">
      <w:pPr>
        <w:pStyle w:val="NormalWeb"/>
        <w:spacing w:after="0" w:line="240" w:lineRule="auto"/>
        <w:rPr>
          <w:rFonts w:asciiTheme="minorHAnsi" w:hAnsiTheme="minorHAnsi" w:cstheme="minorHAnsi"/>
        </w:rPr>
      </w:pPr>
    </w:p>
    <w:p w14:paraId="5B96DE98" w14:textId="77777777" w:rsidR="00785047" w:rsidRPr="00785047" w:rsidRDefault="00785047" w:rsidP="00A6332E">
      <w:pPr>
        <w:pStyle w:val="Heading1"/>
        <w:rPr>
          <w:rFonts w:eastAsia="Times New Roman"/>
        </w:rPr>
      </w:pPr>
      <w:r w:rsidRPr="00785047">
        <w:rPr>
          <w:rFonts w:eastAsia="Times New Roman"/>
        </w:rPr>
        <w:t>Identified issues</w:t>
      </w:r>
    </w:p>
    <w:p w14:paraId="60061E4C" w14:textId="77777777" w:rsidR="00785047" w:rsidRPr="00785047" w:rsidRDefault="00785047" w:rsidP="00785047">
      <w:pPr>
        <w:spacing w:before="100" w:beforeAutospacing="1"/>
        <w:rPr>
          <w:rFonts w:eastAsia="Times New Roman" w:cstheme="minorHAnsi"/>
        </w:rPr>
      </w:pPr>
    </w:p>
    <w:p w14:paraId="1D0B864C" w14:textId="77777777" w:rsidR="00785047" w:rsidRPr="00A6332E" w:rsidRDefault="00785047" w:rsidP="00A6332E">
      <w:pPr>
        <w:pStyle w:val="Heading2"/>
        <w:rPr>
          <w:rStyle w:val="Strong"/>
        </w:rPr>
      </w:pPr>
      <w:r w:rsidRPr="00A6332E">
        <w:rPr>
          <w:rStyle w:val="Strong"/>
        </w:rPr>
        <w:t>Metadata Capture – Resource information</w:t>
      </w:r>
    </w:p>
    <w:p w14:paraId="68A88FFC"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Resource Status not captured by GA</w:t>
      </w:r>
    </w:p>
    <w:p w14:paraId="67C7088D"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 xml:space="preserve">What </w:t>
      </w:r>
      <w:r w:rsidR="00B36BA9">
        <w:rPr>
          <w:rFonts w:eastAsia="Times New Roman" w:cstheme="minorHAnsi"/>
        </w:rPr>
        <w:t xml:space="preserve">advice (if any) should we give </w:t>
      </w:r>
      <w:r w:rsidRPr="00785047">
        <w:rPr>
          <w:rFonts w:eastAsia="Times New Roman" w:cstheme="minorHAnsi"/>
        </w:rPr>
        <w:t>about browse graphics?</w:t>
      </w:r>
    </w:p>
    <w:p w14:paraId="23B58FDA"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Resource Point of Contact differences</w:t>
      </w:r>
    </w:p>
    <w:p w14:paraId="5E6893D5"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 xml:space="preserve">Need best practice for use of </w:t>
      </w:r>
      <w:proofErr w:type="spellStart"/>
      <w:r w:rsidRPr="00785047">
        <w:rPr>
          <w:rFonts w:eastAsia="Times New Roman" w:cstheme="minorHAnsi"/>
        </w:rPr>
        <w:t>xlinks</w:t>
      </w:r>
      <w:proofErr w:type="spellEnd"/>
      <w:r w:rsidRPr="00785047">
        <w:rPr>
          <w:rFonts w:eastAsia="Times New Roman" w:cstheme="minorHAnsi"/>
        </w:rPr>
        <w:t xml:space="preserve"> for this </w:t>
      </w:r>
    </w:p>
    <w:p w14:paraId="2D6A47C9"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 xml:space="preserve">and other sections </w:t>
      </w:r>
      <w:r w:rsidR="00B36BA9">
        <w:rPr>
          <w:rFonts w:eastAsia="Times New Roman" w:cstheme="minorHAnsi"/>
        </w:rPr>
        <w:t xml:space="preserve">where </w:t>
      </w:r>
      <w:proofErr w:type="spellStart"/>
      <w:r w:rsidR="00B36BA9">
        <w:rPr>
          <w:rFonts w:eastAsia="Times New Roman" w:cstheme="minorHAnsi"/>
        </w:rPr>
        <w:t>xlinks</w:t>
      </w:r>
      <w:proofErr w:type="spellEnd"/>
      <w:r w:rsidR="00B36BA9">
        <w:rPr>
          <w:rFonts w:eastAsia="Times New Roman" w:cstheme="minorHAnsi"/>
        </w:rPr>
        <w:t xml:space="preserve"> are used</w:t>
      </w:r>
    </w:p>
    <w:p w14:paraId="548C8456"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especially in relation to DCAT and linked data support and advice</w:t>
      </w:r>
    </w:p>
    <w:p w14:paraId="2DCD0CED"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 xml:space="preserve">Organisation contact, individual in org contact, individual contact – </w:t>
      </w:r>
      <w:r w:rsidR="00B36BA9">
        <w:rPr>
          <w:rFonts w:eastAsia="Times New Roman" w:cstheme="minorHAnsi"/>
        </w:rPr>
        <w:t xml:space="preserve">should we develop best practice </w:t>
      </w:r>
      <w:r w:rsidRPr="00785047">
        <w:rPr>
          <w:rFonts w:eastAsia="Times New Roman" w:cstheme="minorHAnsi"/>
        </w:rPr>
        <w:t>recommendations?</w:t>
      </w:r>
    </w:p>
    <w:p w14:paraId="37377C9C"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GA use of ’</w:t>
      </w:r>
      <w:proofErr w:type="spellStart"/>
      <w:r w:rsidRPr="00785047">
        <w:rPr>
          <w:rFonts w:eastAsia="Times New Roman" w:cstheme="minorHAnsi"/>
        </w:rPr>
        <w:t>contactinstructions</w:t>
      </w:r>
      <w:proofErr w:type="spellEnd"/>
      <w:r w:rsidRPr="00785047">
        <w:rPr>
          <w:rFonts w:eastAsia="Times New Roman" w:cstheme="minorHAnsi"/>
        </w:rPr>
        <w:t xml:space="preserve"> = “1”</w:t>
      </w:r>
      <w:proofErr w:type="gramStart"/>
      <w:r w:rsidRPr="00785047">
        <w:rPr>
          <w:rFonts w:eastAsia="Times New Roman" w:cstheme="minorHAnsi"/>
        </w:rPr>
        <w:t>’ ?</w:t>
      </w:r>
      <w:proofErr w:type="gramEnd"/>
      <w:r w:rsidRPr="00785047">
        <w:rPr>
          <w:rFonts w:eastAsia="Times New Roman" w:cstheme="minorHAnsi"/>
        </w:rPr>
        <w:t xml:space="preserve"> </w:t>
      </w:r>
    </w:p>
    <w:p w14:paraId="01AB5A0A"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What does this mean?</w:t>
      </w:r>
    </w:p>
    <w:p w14:paraId="76226FD9"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Is it only internal?</w:t>
      </w:r>
    </w:p>
    <w:p w14:paraId="16D51DD4"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 xml:space="preserve">(applies to all GA </w:t>
      </w:r>
      <w:proofErr w:type="spellStart"/>
      <w:r w:rsidRPr="00785047">
        <w:rPr>
          <w:rFonts w:eastAsia="Times New Roman" w:cstheme="minorHAnsi"/>
        </w:rPr>
        <w:t>CI_ResponsibleParty</w:t>
      </w:r>
      <w:proofErr w:type="spellEnd"/>
      <w:r w:rsidRPr="00785047">
        <w:rPr>
          <w:rFonts w:eastAsia="Times New Roman" w:cstheme="minorHAnsi"/>
        </w:rPr>
        <w:t xml:space="preserve"> </w:t>
      </w:r>
      <w:proofErr w:type="spellStart"/>
      <w:r w:rsidRPr="00785047">
        <w:rPr>
          <w:rFonts w:eastAsia="Times New Roman" w:cstheme="minorHAnsi"/>
        </w:rPr>
        <w:t>reccords</w:t>
      </w:r>
      <w:proofErr w:type="spellEnd"/>
      <w:r w:rsidRPr="00785047">
        <w:rPr>
          <w:rFonts w:eastAsia="Times New Roman" w:cstheme="minorHAnsi"/>
        </w:rPr>
        <w:t xml:space="preserve"> in example metadata)</w:t>
      </w:r>
    </w:p>
    <w:p w14:paraId="0FBB42BC"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Keyword section – needs further discussion and recommendations developed</w:t>
      </w:r>
    </w:p>
    <w:p w14:paraId="44270AE8"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Use Thesauri!</w:t>
      </w:r>
    </w:p>
    <w:p w14:paraId="196811BB"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Standard and recommended thesauri – how to address in best practice</w:t>
      </w:r>
    </w:p>
    <w:p w14:paraId="595823CB"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Which ones?</w:t>
      </w:r>
    </w:p>
    <w:p w14:paraId="37B447A4"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Common location?</w:t>
      </w:r>
    </w:p>
    <w:p w14:paraId="6079D2C0"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How to use in schema?</w:t>
      </w:r>
    </w:p>
    <w:p w14:paraId="50807FA9"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GA use of “</w:t>
      </w:r>
      <w:proofErr w:type="spellStart"/>
      <w:r w:rsidRPr="00785047">
        <w:rPr>
          <w:rFonts w:eastAsia="Times New Roman" w:cstheme="minorHAnsi"/>
          <w:color w:val="000000"/>
        </w:rPr>
        <w:t>Published_External</w:t>
      </w:r>
      <w:proofErr w:type="spellEnd"/>
      <w:r w:rsidRPr="00785047">
        <w:rPr>
          <w:rFonts w:eastAsia="Times New Roman" w:cstheme="minorHAnsi"/>
          <w:color w:val="000000"/>
        </w:rPr>
        <w:t>” as a general keyword</w:t>
      </w:r>
    </w:p>
    <w:p w14:paraId="53242822"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color w:val="000000"/>
        </w:rPr>
        <w:t xml:space="preserve">What is this? Looks like a kludge to support identification of externally published records. If so, there are other tools available – especially in </w:t>
      </w:r>
      <w:proofErr w:type="spellStart"/>
      <w:r w:rsidRPr="00785047">
        <w:rPr>
          <w:rFonts w:eastAsia="Times New Roman" w:cstheme="minorHAnsi"/>
          <w:color w:val="000000"/>
        </w:rPr>
        <w:t>GeoNetwork</w:t>
      </w:r>
      <w:proofErr w:type="spellEnd"/>
      <w:r w:rsidRPr="00785047">
        <w:rPr>
          <w:rFonts w:eastAsia="Times New Roman" w:cstheme="minorHAnsi"/>
          <w:color w:val="000000"/>
        </w:rPr>
        <w:t>, but also in the standard</w:t>
      </w:r>
    </w:p>
    <w:p w14:paraId="4E0C95A0"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color w:val="000000"/>
        </w:rPr>
        <w:t>Should we encourage this type of use of keywords or other fields?</w:t>
      </w:r>
    </w:p>
    <w:p w14:paraId="6F3CAF85"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color w:val="000000"/>
        </w:rPr>
        <w:t xml:space="preserve">Is there a </w:t>
      </w:r>
      <w:r w:rsidR="00B36BA9">
        <w:rPr>
          <w:rFonts w:eastAsia="Times New Roman" w:cstheme="minorHAnsi"/>
          <w:color w:val="000000"/>
        </w:rPr>
        <w:t xml:space="preserve">best practice </w:t>
      </w:r>
      <w:r w:rsidRPr="00785047">
        <w:rPr>
          <w:rFonts w:eastAsia="Times New Roman" w:cstheme="minorHAnsi"/>
          <w:color w:val="000000"/>
        </w:rPr>
        <w:t xml:space="preserve">way to separate </w:t>
      </w:r>
      <w:proofErr w:type="gramStart"/>
      <w:r w:rsidRPr="00785047">
        <w:rPr>
          <w:rFonts w:eastAsia="Times New Roman" w:cstheme="minorHAnsi"/>
          <w:color w:val="000000"/>
        </w:rPr>
        <w:t>Internal</w:t>
      </w:r>
      <w:proofErr w:type="gramEnd"/>
      <w:r w:rsidRPr="00785047">
        <w:rPr>
          <w:rFonts w:eastAsia="Times New Roman" w:cstheme="minorHAnsi"/>
          <w:color w:val="000000"/>
        </w:rPr>
        <w:t xml:space="preserve"> data management metadata from external me</w:t>
      </w:r>
      <w:r w:rsidR="00B36BA9">
        <w:rPr>
          <w:rFonts w:eastAsia="Times New Roman" w:cstheme="minorHAnsi"/>
          <w:color w:val="000000"/>
        </w:rPr>
        <w:t>t</w:t>
      </w:r>
      <w:r w:rsidRPr="00785047">
        <w:rPr>
          <w:rFonts w:eastAsia="Times New Roman" w:cstheme="minorHAnsi"/>
          <w:color w:val="000000"/>
        </w:rPr>
        <w:t>adata</w:t>
      </w:r>
      <w:r w:rsidR="00B36BA9">
        <w:rPr>
          <w:rFonts w:eastAsia="Times New Roman" w:cstheme="minorHAnsi"/>
          <w:color w:val="000000"/>
        </w:rPr>
        <w:t xml:space="preserve">?  </w:t>
      </w:r>
      <w:proofErr w:type="spellStart"/>
      <w:r w:rsidR="00B36BA9">
        <w:rPr>
          <w:rFonts w:eastAsia="Times New Roman" w:cstheme="minorHAnsi"/>
          <w:color w:val="000000"/>
        </w:rPr>
        <w:t>GeoNetwork</w:t>
      </w:r>
      <w:proofErr w:type="spellEnd"/>
      <w:r w:rsidR="00B36BA9">
        <w:rPr>
          <w:rFonts w:eastAsia="Times New Roman" w:cstheme="minorHAnsi"/>
          <w:color w:val="000000"/>
        </w:rPr>
        <w:t xml:space="preserve"> provides options.</w:t>
      </w:r>
    </w:p>
    <w:p w14:paraId="570E1220"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Distribution</w:t>
      </w:r>
    </w:p>
    <w:p w14:paraId="67C3DDDD"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 xml:space="preserve">GA incorrectly cites “Geoscience Australia” as format distributor. </w:t>
      </w:r>
    </w:p>
    <w:p w14:paraId="6B79491F"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Should be mrd:MD_Distributor/mrd:distributorContact/cit:CI_Responsibility/cit:party/cit:CI_Organisation/cit:name</w:t>
      </w:r>
    </w:p>
    <w:p w14:paraId="48C0E1A6" w14:textId="77777777" w:rsidR="00785047" w:rsidRPr="00785047" w:rsidRDefault="00785047" w:rsidP="00785047">
      <w:pPr>
        <w:numPr>
          <w:ilvl w:val="2"/>
          <w:numId w:val="6"/>
        </w:numPr>
        <w:spacing w:before="100" w:beforeAutospacing="1"/>
        <w:rPr>
          <w:rFonts w:eastAsia="Times New Roman" w:cstheme="minorHAnsi"/>
        </w:rPr>
      </w:pPr>
      <w:r w:rsidRPr="00785047">
        <w:rPr>
          <w:rFonts w:eastAsia="Times New Roman" w:cstheme="minorHAnsi"/>
        </w:rPr>
        <w:t>Digital tran</w:t>
      </w:r>
      <w:r w:rsidR="00B36BA9">
        <w:rPr>
          <w:rFonts w:eastAsia="Times New Roman" w:cstheme="minorHAnsi"/>
        </w:rPr>
        <w:t>s</w:t>
      </w:r>
      <w:r w:rsidRPr="00785047">
        <w:rPr>
          <w:rFonts w:eastAsia="Times New Roman" w:cstheme="minorHAnsi"/>
        </w:rPr>
        <w:t>fer options undefined in GA example metadata</w:t>
      </w:r>
    </w:p>
    <w:p w14:paraId="1F99E8F4"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Constraints</w:t>
      </w:r>
    </w:p>
    <w:p w14:paraId="137F863A"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ABARES cites “Creative Commons” under “</w:t>
      </w:r>
      <w:proofErr w:type="spellStart"/>
      <w:r w:rsidRPr="00785047">
        <w:rPr>
          <w:rFonts w:eastAsia="Times New Roman" w:cstheme="minorHAnsi"/>
        </w:rPr>
        <w:t>mco:otherContraints</w:t>
      </w:r>
      <w:proofErr w:type="spellEnd"/>
      <w:r w:rsidRPr="00785047">
        <w:rPr>
          <w:rFonts w:eastAsia="Times New Roman" w:cstheme="minorHAnsi"/>
        </w:rPr>
        <w:t>”</w:t>
      </w:r>
      <w:r w:rsidR="00A96970">
        <w:rPr>
          <w:rFonts w:eastAsia="Times New Roman" w:cstheme="minorHAnsi"/>
        </w:rPr>
        <w:t xml:space="preserve"> instead of </w:t>
      </w:r>
      <w:proofErr w:type="spellStart"/>
      <w:r w:rsidR="00A96970">
        <w:rPr>
          <w:rFonts w:eastAsia="Times New Roman" w:cstheme="minorHAnsi"/>
        </w:rPr>
        <w:t>mco:MD_LegalContraints</w:t>
      </w:r>
      <w:proofErr w:type="spellEnd"/>
    </w:p>
    <w:p w14:paraId="33F78C91" w14:textId="77777777" w:rsidR="00785047" w:rsidRPr="00785047" w:rsidRDefault="00A96970" w:rsidP="00785047">
      <w:pPr>
        <w:numPr>
          <w:ilvl w:val="1"/>
          <w:numId w:val="6"/>
        </w:numPr>
        <w:spacing w:before="100" w:beforeAutospacing="1"/>
        <w:rPr>
          <w:rFonts w:eastAsia="Times New Roman" w:cstheme="minorHAnsi"/>
        </w:rPr>
      </w:pPr>
      <w:r>
        <w:rPr>
          <w:rFonts w:eastAsia="Times New Roman" w:cstheme="minorHAnsi"/>
        </w:rPr>
        <w:t xml:space="preserve">A general discussion is needed about copyright, license and other legal </w:t>
      </w:r>
      <w:proofErr w:type="spellStart"/>
      <w:r>
        <w:rPr>
          <w:rFonts w:eastAsia="Times New Roman" w:cstheme="minorHAnsi"/>
        </w:rPr>
        <w:t>contraints</w:t>
      </w:r>
      <w:proofErr w:type="spellEnd"/>
      <w:r>
        <w:rPr>
          <w:rFonts w:eastAsia="Times New Roman" w:cstheme="minorHAnsi"/>
        </w:rPr>
        <w:t xml:space="preserve"> and where they apply is needed.  Special guidance with the help of a lawyer to draft is recommended.</w:t>
      </w:r>
    </w:p>
    <w:p w14:paraId="40FB4BB3"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 xml:space="preserve">Extents </w:t>
      </w:r>
    </w:p>
    <w:p w14:paraId="5E885629"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 xml:space="preserve">ABARES record lacks </w:t>
      </w:r>
      <w:proofErr w:type="spellStart"/>
      <w:r w:rsidRPr="00785047">
        <w:rPr>
          <w:rFonts w:eastAsia="Times New Roman" w:cstheme="minorHAnsi"/>
        </w:rPr>
        <w:t>gml</w:t>
      </w:r>
      <w:proofErr w:type="spellEnd"/>
      <w:r w:rsidRPr="00785047">
        <w:rPr>
          <w:rFonts w:eastAsia="Times New Roman" w:cstheme="minorHAnsi"/>
        </w:rPr>
        <w:t xml:space="preserve"> namespace on date information on sample record</w:t>
      </w:r>
    </w:p>
    <w:p w14:paraId="48CE6221" w14:textId="77777777" w:rsidR="00785047" w:rsidRPr="00785047" w:rsidRDefault="00785047" w:rsidP="00785047">
      <w:pPr>
        <w:numPr>
          <w:ilvl w:val="0"/>
          <w:numId w:val="6"/>
        </w:numPr>
        <w:spacing w:before="100" w:beforeAutospacing="1"/>
        <w:rPr>
          <w:rFonts w:eastAsia="Times New Roman" w:cstheme="minorHAnsi"/>
        </w:rPr>
      </w:pPr>
      <w:r w:rsidRPr="00785047">
        <w:rPr>
          <w:rFonts w:eastAsia="Times New Roman" w:cstheme="minorHAnsi"/>
        </w:rPr>
        <w:t>Linage, Usage. Associated resource, Spatial Representation, Data Attribute definition</w:t>
      </w:r>
    </w:p>
    <w:p w14:paraId="173411BF"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Not populated in either example metadata record</w:t>
      </w:r>
    </w:p>
    <w:p w14:paraId="2CE8A791" w14:textId="77777777" w:rsidR="00785047" w:rsidRPr="00785047" w:rsidRDefault="00785047" w:rsidP="00785047">
      <w:pPr>
        <w:numPr>
          <w:ilvl w:val="1"/>
          <w:numId w:val="6"/>
        </w:numPr>
        <w:spacing w:before="100" w:beforeAutospacing="1"/>
        <w:rPr>
          <w:rFonts w:eastAsia="Times New Roman" w:cstheme="minorHAnsi"/>
        </w:rPr>
      </w:pPr>
      <w:r w:rsidRPr="00785047">
        <w:rPr>
          <w:rFonts w:eastAsia="Times New Roman" w:cstheme="minorHAnsi"/>
        </w:rPr>
        <w:t xml:space="preserve">Need to review what we want to do with these in Best Practice terms </w:t>
      </w:r>
    </w:p>
    <w:p w14:paraId="44EAFD9C" w14:textId="77777777" w:rsidR="00785047" w:rsidRPr="00785047" w:rsidRDefault="00785047" w:rsidP="00785047">
      <w:pPr>
        <w:spacing w:before="100" w:beforeAutospacing="1"/>
        <w:rPr>
          <w:rFonts w:eastAsia="Times New Roman" w:cstheme="minorHAnsi"/>
        </w:rPr>
      </w:pPr>
    </w:p>
    <w:p w14:paraId="7D92B0DF" w14:textId="77777777" w:rsidR="00785047" w:rsidRPr="00785047" w:rsidRDefault="00785047" w:rsidP="00785047">
      <w:pPr>
        <w:spacing w:before="100" w:beforeAutospacing="1"/>
        <w:rPr>
          <w:rStyle w:val="Strong"/>
        </w:rPr>
      </w:pPr>
      <w:r w:rsidRPr="00785047">
        <w:rPr>
          <w:rStyle w:val="Strong"/>
        </w:rPr>
        <w:t>Metadata Capture – Metadata</w:t>
      </w:r>
    </w:p>
    <w:p w14:paraId="76E437CA" w14:textId="77777777" w:rsidR="00785047" w:rsidRPr="00785047" w:rsidRDefault="00785047" w:rsidP="00785047">
      <w:pPr>
        <w:numPr>
          <w:ilvl w:val="0"/>
          <w:numId w:val="7"/>
        </w:numPr>
        <w:spacing w:before="100" w:beforeAutospacing="1"/>
        <w:rPr>
          <w:rFonts w:eastAsia="Times New Roman" w:cstheme="minorHAnsi"/>
        </w:rPr>
      </w:pPr>
      <w:r w:rsidRPr="00785047">
        <w:rPr>
          <w:rFonts w:eastAsia="Times New Roman" w:cstheme="minorHAnsi"/>
        </w:rPr>
        <w:t xml:space="preserve">Best practice needed for identifiers and URL. </w:t>
      </w:r>
    </w:p>
    <w:p w14:paraId="57A3BA54" w14:textId="77777777" w:rsidR="00785047" w:rsidRPr="00785047" w:rsidRDefault="00785047" w:rsidP="00785047">
      <w:pPr>
        <w:numPr>
          <w:ilvl w:val="1"/>
          <w:numId w:val="7"/>
        </w:numPr>
        <w:spacing w:before="100" w:beforeAutospacing="1"/>
        <w:rPr>
          <w:rFonts w:eastAsia="Times New Roman" w:cstheme="minorHAnsi"/>
        </w:rPr>
      </w:pPr>
      <w:r w:rsidRPr="00785047">
        <w:rPr>
          <w:rFonts w:eastAsia="Times New Roman" w:cstheme="minorHAnsi"/>
        </w:rPr>
        <w:t xml:space="preserve">Should we consider </w:t>
      </w:r>
      <w:r w:rsidR="00A96970">
        <w:rPr>
          <w:rFonts w:eastAsia="Times New Roman" w:cstheme="minorHAnsi"/>
        </w:rPr>
        <w:t>recommending</w:t>
      </w:r>
      <w:r w:rsidRPr="00785047">
        <w:rPr>
          <w:rFonts w:eastAsia="Times New Roman" w:cstheme="minorHAnsi"/>
        </w:rPr>
        <w:t xml:space="preserve"> point of truth </w:t>
      </w:r>
      <w:proofErr w:type="spellStart"/>
      <w:r w:rsidRPr="00785047">
        <w:rPr>
          <w:rFonts w:eastAsia="Times New Roman" w:cstheme="minorHAnsi"/>
        </w:rPr>
        <w:t>dereferencable</w:t>
      </w:r>
      <w:proofErr w:type="spellEnd"/>
      <w:r w:rsidRPr="00785047">
        <w:rPr>
          <w:rFonts w:eastAsia="Times New Roman" w:cstheme="minorHAnsi"/>
        </w:rPr>
        <w:t xml:space="preserve"> URI’s</w:t>
      </w:r>
    </w:p>
    <w:p w14:paraId="0620F059" w14:textId="77777777" w:rsidR="00785047" w:rsidRPr="00785047" w:rsidRDefault="00785047" w:rsidP="00785047">
      <w:pPr>
        <w:numPr>
          <w:ilvl w:val="0"/>
          <w:numId w:val="7"/>
        </w:numPr>
        <w:spacing w:before="100" w:beforeAutospacing="1"/>
        <w:rPr>
          <w:rFonts w:eastAsia="Times New Roman" w:cstheme="minorHAnsi"/>
        </w:rPr>
      </w:pPr>
      <w:r w:rsidRPr="00785047">
        <w:rPr>
          <w:rFonts w:eastAsia="Times New Roman" w:cstheme="minorHAnsi"/>
        </w:rPr>
        <w:t xml:space="preserve">Metadata constraints </w:t>
      </w:r>
    </w:p>
    <w:p w14:paraId="0287AFCB" w14:textId="77777777" w:rsidR="00785047" w:rsidRPr="00785047" w:rsidRDefault="00785047" w:rsidP="00785047">
      <w:pPr>
        <w:numPr>
          <w:ilvl w:val="1"/>
          <w:numId w:val="7"/>
        </w:numPr>
        <w:spacing w:before="100" w:beforeAutospacing="1"/>
        <w:rPr>
          <w:rFonts w:eastAsia="Times New Roman" w:cstheme="minorHAnsi"/>
        </w:rPr>
      </w:pPr>
      <w:r w:rsidRPr="00785047">
        <w:rPr>
          <w:rFonts w:eastAsia="Times New Roman" w:cstheme="minorHAnsi"/>
        </w:rPr>
        <w:t>Thin on metadata use constraints – is this okay?</w:t>
      </w:r>
    </w:p>
    <w:p w14:paraId="430D4803" w14:textId="77777777" w:rsidR="00785047" w:rsidRPr="00785047" w:rsidRDefault="00785047" w:rsidP="00785047">
      <w:pPr>
        <w:numPr>
          <w:ilvl w:val="1"/>
          <w:numId w:val="7"/>
        </w:numPr>
        <w:spacing w:before="100" w:beforeAutospacing="1"/>
        <w:rPr>
          <w:rFonts w:eastAsia="Times New Roman" w:cstheme="minorHAnsi"/>
        </w:rPr>
      </w:pPr>
      <w:r w:rsidRPr="00785047">
        <w:rPr>
          <w:rFonts w:eastAsia="Times New Roman" w:cstheme="minorHAnsi"/>
        </w:rPr>
        <w:t xml:space="preserve">ABARES - </w:t>
      </w:r>
    </w:p>
    <w:p w14:paraId="13DD27D6" w14:textId="77777777" w:rsidR="00785047" w:rsidRPr="00785047" w:rsidRDefault="00785047" w:rsidP="00785047">
      <w:pPr>
        <w:numPr>
          <w:ilvl w:val="2"/>
          <w:numId w:val="7"/>
        </w:numPr>
        <w:spacing w:before="100" w:beforeAutospacing="1"/>
        <w:rPr>
          <w:rFonts w:eastAsia="Times New Roman" w:cstheme="minorHAnsi"/>
        </w:rPr>
      </w:pPr>
      <w:r w:rsidRPr="00785047">
        <w:rPr>
          <w:rFonts w:eastAsia="Times New Roman" w:cstheme="minorHAnsi"/>
        </w:rPr>
        <w:t xml:space="preserve">Heavy reliance on generic </w:t>
      </w:r>
      <w:proofErr w:type="spellStart"/>
      <w:r w:rsidRPr="00785047">
        <w:rPr>
          <w:rFonts w:eastAsia="Times New Roman" w:cstheme="minorHAnsi"/>
        </w:rPr>
        <w:t>MD_Constraints</w:t>
      </w:r>
      <w:proofErr w:type="spellEnd"/>
      <w:r w:rsidRPr="00785047">
        <w:rPr>
          <w:rFonts w:eastAsia="Times New Roman" w:cstheme="minorHAnsi"/>
        </w:rPr>
        <w:t>/</w:t>
      </w:r>
      <w:proofErr w:type="spellStart"/>
      <w:r w:rsidRPr="00785047">
        <w:rPr>
          <w:rFonts w:eastAsia="Times New Roman" w:cstheme="minorHAnsi"/>
        </w:rPr>
        <w:t>mco:useLimitations</w:t>
      </w:r>
      <w:proofErr w:type="spellEnd"/>
    </w:p>
    <w:p w14:paraId="4139BBF1" w14:textId="77777777" w:rsidR="00785047" w:rsidRPr="00785047" w:rsidRDefault="00785047" w:rsidP="00785047">
      <w:pPr>
        <w:numPr>
          <w:ilvl w:val="2"/>
          <w:numId w:val="7"/>
        </w:numPr>
        <w:spacing w:before="100" w:beforeAutospacing="1"/>
        <w:rPr>
          <w:rFonts w:eastAsia="Times New Roman" w:cstheme="minorHAnsi"/>
        </w:rPr>
      </w:pPr>
      <w:r w:rsidRPr="00785047">
        <w:rPr>
          <w:rFonts w:eastAsia="Times New Roman" w:cstheme="minorHAnsi"/>
        </w:rPr>
        <w:t>Citation of “General Public” and “</w:t>
      </w:r>
      <w:proofErr w:type="spellStart"/>
      <w:r w:rsidRPr="00785047">
        <w:rPr>
          <w:rFonts w:eastAsia="Times New Roman" w:cstheme="minorHAnsi"/>
        </w:rPr>
        <w:t>AnyPosition</w:t>
      </w:r>
      <w:proofErr w:type="spellEnd"/>
      <w:r w:rsidRPr="00785047">
        <w:rPr>
          <w:rFonts w:eastAsia="Times New Roman" w:cstheme="minorHAnsi"/>
        </w:rPr>
        <w:t xml:space="preserve">” under individual within organisation contact information </w:t>
      </w:r>
    </w:p>
    <w:p w14:paraId="16D33E34" w14:textId="77777777" w:rsidR="00785047" w:rsidRPr="00785047" w:rsidRDefault="00785047" w:rsidP="00785047">
      <w:pPr>
        <w:numPr>
          <w:ilvl w:val="2"/>
          <w:numId w:val="7"/>
        </w:numPr>
        <w:spacing w:before="100" w:beforeAutospacing="1"/>
        <w:rPr>
          <w:rFonts w:eastAsia="Times New Roman" w:cstheme="minorHAnsi"/>
        </w:rPr>
      </w:pPr>
      <w:r w:rsidRPr="00785047">
        <w:rPr>
          <w:rFonts w:eastAsia="Times New Roman" w:cstheme="minorHAnsi"/>
        </w:rPr>
        <w:t>Cryptic ‘X3 “Licence type: Copyright Commonwealth of Australia 2018…”’ entry under /</w:t>
      </w:r>
      <w:proofErr w:type="spellStart"/>
      <w:r w:rsidRPr="00785047">
        <w:rPr>
          <w:rFonts w:eastAsia="Times New Roman" w:cstheme="minorHAnsi"/>
        </w:rPr>
        <w:t>mco:MD_LegalConstraints</w:t>
      </w:r>
      <w:proofErr w:type="spellEnd"/>
      <w:r w:rsidRPr="00785047">
        <w:rPr>
          <w:rFonts w:eastAsia="Times New Roman" w:cstheme="minorHAnsi"/>
        </w:rPr>
        <w:t>/</w:t>
      </w:r>
      <w:proofErr w:type="spellStart"/>
      <w:r w:rsidRPr="00785047">
        <w:rPr>
          <w:rFonts w:eastAsia="Times New Roman" w:cstheme="minorHAnsi"/>
        </w:rPr>
        <w:t>mco:otherConstraints</w:t>
      </w:r>
      <w:proofErr w:type="spellEnd"/>
    </w:p>
    <w:p w14:paraId="7219BAC1" w14:textId="77777777" w:rsidR="00785047" w:rsidRPr="00785047" w:rsidRDefault="00785047" w:rsidP="00785047">
      <w:pPr>
        <w:numPr>
          <w:ilvl w:val="2"/>
          <w:numId w:val="7"/>
        </w:numPr>
        <w:spacing w:before="100" w:beforeAutospacing="1"/>
        <w:rPr>
          <w:rFonts w:eastAsia="Times New Roman" w:cstheme="minorHAnsi"/>
        </w:rPr>
      </w:pPr>
      <w:r w:rsidRPr="00785047">
        <w:rPr>
          <w:rFonts w:eastAsia="Times New Roman" w:cstheme="minorHAnsi"/>
        </w:rPr>
        <w:t>Vague reference ‘</w:t>
      </w:r>
      <w:proofErr w:type="spellStart"/>
      <w:r w:rsidRPr="00785047">
        <w:rPr>
          <w:rFonts w:eastAsia="Times New Roman" w:cstheme="minorHAnsi"/>
        </w:rPr>
        <w:t>codeListValue</w:t>
      </w:r>
      <w:proofErr w:type="spellEnd"/>
      <w:r w:rsidRPr="00785047">
        <w:rPr>
          <w:rFonts w:eastAsia="Times New Roman" w:cstheme="minorHAnsi"/>
        </w:rPr>
        <w:t>="copyright"’ under mco:MD_LegalConstraints/mco:releasability/mco:MD_Releasability/mco:disseminationConstraints</w:t>
      </w:r>
    </w:p>
    <w:p w14:paraId="0805A1E1" w14:textId="77777777" w:rsidR="00785047" w:rsidRPr="00785047" w:rsidRDefault="00785047" w:rsidP="00785047">
      <w:pPr>
        <w:numPr>
          <w:ilvl w:val="1"/>
          <w:numId w:val="7"/>
        </w:numPr>
        <w:spacing w:before="100" w:beforeAutospacing="1"/>
        <w:rPr>
          <w:rFonts w:eastAsia="Times New Roman" w:cstheme="minorHAnsi"/>
        </w:rPr>
      </w:pPr>
      <w:r w:rsidRPr="00785047">
        <w:rPr>
          <w:rFonts w:eastAsia="Times New Roman" w:cstheme="minorHAnsi"/>
        </w:rPr>
        <w:t>GA - No metadata constraint info captured in example record</w:t>
      </w:r>
    </w:p>
    <w:p w14:paraId="4B94D5A5" w14:textId="77777777" w:rsidR="00D7783F" w:rsidRDefault="00D7783F" w:rsidP="00785047">
      <w:pPr>
        <w:spacing w:before="100" w:beforeAutospacing="1"/>
        <w:rPr>
          <w:rFonts w:eastAsia="Times New Roman" w:cstheme="minorHAnsi"/>
        </w:rPr>
      </w:pPr>
    </w:p>
    <w:p w14:paraId="1560B644" w14:textId="77777777" w:rsidR="00785047" w:rsidRPr="00785047" w:rsidRDefault="00785047" w:rsidP="00785047">
      <w:pPr>
        <w:spacing w:before="100" w:beforeAutospacing="1"/>
        <w:rPr>
          <w:rStyle w:val="Strong"/>
        </w:rPr>
      </w:pPr>
      <w:r w:rsidRPr="00785047">
        <w:rPr>
          <w:rStyle w:val="Strong"/>
        </w:rPr>
        <w:t>General issues</w:t>
      </w:r>
    </w:p>
    <w:p w14:paraId="47FB7D4A" w14:textId="77777777" w:rsidR="00785047" w:rsidRPr="00785047" w:rsidRDefault="00785047" w:rsidP="00785047">
      <w:pPr>
        <w:numPr>
          <w:ilvl w:val="0"/>
          <w:numId w:val="8"/>
        </w:numPr>
        <w:spacing w:before="100" w:beforeAutospacing="1"/>
        <w:rPr>
          <w:rFonts w:eastAsia="Times New Roman" w:cstheme="minorHAnsi"/>
        </w:rPr>
      </w:pPr>
      <w:r w:rsidRPr="00785047">
        <w:rPr>
          <w:rFonts w:eastAsia="Times New Roman" w:cstheme="minorHAnsi"/>
        </w:rPr>
        <w:t>Confusion often occurs in what is being described</w:t>
      </w:r>
    </w:p>
    <w:p w14:paraId="38ED19C5"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The Resource?</w:t>
      </w:r>
    </w:p>
    <w:p w14:paraId="12C1DE99"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A Distribution of the resource?</w:t>
      </w:r>
    </w:p>
    <w:p w14:paraId="0743F698"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The Metadata describing the resource?</w:t>
      </w:r>
    </w:p>
    <w:p w14:paraId="52BC8698" w14:textId="77777777" w:rsidR="00785047" w:rsidRPr="00785047" w:rsidRDefault="00785047" w:rsidP="00785047">
      <w:pPr>
        <w:numPr>
          <w:ilvl w:val="0"/>
          <w:numId w:val="8"/>
        </w:numPr>
        <w:spacing w:before="100" w:beforeAutospacing="1"/>
        <w:rPr>
          <w:rFonts w:eastAsia="Times New Roman" w:cstheme="minorHAnsi"/>
        </w:rPr>
      </w:pPr>
      <w:r w:rsidRPr="00785047">
        <w:rPr>
          <w:rFonts w:eastAsia="Times New Roman" w:cstheme="minorHAnsi"/>
        </w:rPr>
        <w:t>Confusion as to what the metadata describes</w:t>
      </w:r>
    </w:p>
    <w:p w14:paraId="6338B543"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A data resource?</w:t>
      </w:r>
    </w:p>
    <w:p w14:paraId="0D37C402"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A distribution of a data resource?</w:t>
      </w:r>
    </w:p>
    <w:p w14:paraId="0F93F0CD" w14:textId="77777777" w:rsidR="00785047" w:rsidRPr="00785047" w:rsidRDefault="00785047" w:rsidP="00785047">
      <w:pPr>
        <w:numPr>
          <w:ilvl w:val="0"/>
          <w:numId w:val="8"/>
        </w:numPr>
        <w:spacing w:before="100" w:beforeAutospacing="1"/>
        <w:rPr>
          <w:rFonts w:eastAsia="Times New Roman" w:cstheme="minorHAnsi"/>
        </w:rPr>
      </w:pPr>
      <w:r w:rsidRPr="00785047">
        <w:rPr>
          <w:rFonts w:eastAsia="Times New Roman" w:cstheme="minorHAnsi"/>
        </w:rPr>
        <w:t xml:space="preserve">Copyrights </w:t>
      </w:r>
    </w:p>
    <w:p w14:paraId="2D913B44"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Are primarily for Distributions or Collections</w:t>
      </w:r>
    </w:p>
    <w:p w14:paraId="2F9751E0"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Different distributions can have different copyright licence</w:t>
      </w:r>
    </w:p>
    <w:p w14:paraId="0B0B752E"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Facts cannot be copyrighted</w:t>
      </w:r>
    </w:p>
    <w:p w14:paraId="7CD6A9B2"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There is a difference between copyright and copyright licence</w:t>
      </w:r>
    </w:p>
    <w:p w14:paraId="16E056CF"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Creative commons is a licence on a copyright</w:t>
      </w:r>
    </w:p>
    <w:p w14:paraId="4C467283" w14:textId="77777777" w:rsid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End user licence agreements are not licence in themselves but are a contract containing a grant a licence (which allows more restrictions than otherwise available)</w:t>
      </w:r>
    </w:p>
    <w:p w14:paraId="68C1BB4C" w14:textId="77777777" w:rsidR="00D7783F" w:rsidRPr="00785047" w:rsidRDefault="00D7783F" w:rsidP="00785047">
      <w:pPr>
        <w:numPr>
          <w:ilvl w:val="1"/>
          <w:numId w:val="8"/>
        </w:numPr>
        <w:spacing w:before="100" w:beforeAutospacing="1"/>
        <w:rPr>
          <w:rFonts w:eastAsia="Times New Roman" w:cstheme="minorHAnsi"/>
        </w:rPr>
      </w:pPr>
      <w:r>
        <w:rPr>
          <w:rFonts w:eastAsia="Times New Roman" w:cstheme="minorHAnsi"/>
        </w:rPr>
        <w:t>There are important copyright considerations inherent in provenance/lineage</w:t>
      </w:r>
    </w:p>
    <w:p w14:paraId="7504988E" w14:textId="77777777" w:rsidR="00785047" w:rsidRPr="00785047" w:rsidRDefault="00785047" w:rsidP="00785047">
      <w:pPr>
        <w:numPr>
          <w:ilvl w:val="1"/>
          <w:numId w:val="8"/>
        </w:numPr>
        <w:spacing w:before="100" w:beforeAutospacing="1"/>
        <w:rPr>
          <w:rFonts w:eastAsia="Times New Roman" w:cstheme="minorHAnsi"/>
        </w:rPr>
      </w:pPr>
      <w:r w:rsidRPr="00785047">
        <w:rPr>
          <w:rFonts w:eastAsia="Times New Roman" w:cstheme="minorHAnsi"/>
        </w:rPr>
        <w:t>Legal advice would be nice to gain authoritative clarity</w:t>
      </w:r>
    </w:p>
    <w:p w14:paraId="3DEEC669" w14:textId="77777777" w:rsidR="00785047" w:rsidRPr="00785047" w:rsidRDefault="00785047" w:rsidP="00785047">
      <w:pPr>
        <w:pStyle w:val="NormalWeb"/>
        <w:spacing w:after="0" w:line="240" w:lineRule="auto"/>
        <w:rPr>
          <w:rFonts w:asciiTheme="minorHAnsi" w:hAnsiTheme="minorHAnsi" w:cstheme="minorHAnsi"/>
        </w:rPr>
      </w:pPr>
    </w:p>
    <w:p w14:paraId="3656B9AB" w14:textId="77777777" w:rsidR="001F763F" w:rsidRPr="00785047" w:rsidRDefault="001F763F" w:rsidP="001F763F">
      <w:pPr>
        <w:pStyle w:val="NormalWeb"/>
        <w:spacing w:after="0" w:line="240" w:lineRule="auto"/>
        <w:rPr>
          <w:rFonts w:asciiTheme="minorHAnsi" w:hAnsiTheme="minorHAnsi" w:cstheme="minorHAnsi"/>
        </w:rPr>
      </w:pPr>
    </w:p>
    <w:p w14:paraId="641C81D6" w14:textId="535D69A8" w:rsidR="0BB4BDDB" w:rsidRDefault="0BB4BDDB" w:rsidP="0BB4BDDB">
      <w:pPr>
        <w:pStyle w:val="Heading1"/>
      </w:pPr>
      <w:r w:rsidRPr="0BB4BDDB">
        <w:t>Also included:</w:t>
      </w:r>
    </w:p>
    <w:p w14:paraId="50FFC645" w14:textId="5FFD554B" w:rsidR="0BB4BDDB" w:rsidRDefault="0BB4BDDB" w:rsidP="0BB4BDDB">
      <w:pPr>
        <w:rPr>
          <w:rFonts w:ascii="Calibri" w:eastAsia="Calibri" w:hAnsi="Calibri" w:cs="Calibri"/>
          <w:color w:val="FFFFFF" w:themeColor="background1"/>
          <w:sz w:val="25"/>
          <w:szCs w:val="25"/>
        </w:rPr>
      </w:pPr>
      <w:r w:rsidRPr="0BB4BDDB">
        <w:rPr>
          <w:rStyle w:val="Heading2Char"/>
        </w:rPr>
        <w:t>Combined Metadata between profiles.xlsx</w:t>
      </w:r>
      <w:r w:rsidRPr="0BB4BDDB">
        <w:rPr>
          <w:rStyle w:val="SubtleEmphasis"/>
          <w:i w:val="0"/>
          <w:iCs w:val="0"/>
        </w:rPr>
        <w:t xml:space="preserve"> </w:t>
      </w:r>
      <w:r w:rsidRPr="0BB4BDDB">
        <w:rPr>
          <w:rFonts w:ascii="Calibri" w:eastAsia="Calibri" w:hAnsi="Calibri" w:cs="Calibri"/>
          <w:color w:val="FFFFFF" w:themeColor="background1"/>
          <w:sz w:val="25"/>
          <w:szCs w:val="25"/>
        </w:rPr>
        <w:t>t</w:t>
      </w:r>
    </w:p>
    <w:p w14:paraId="195603E5" w14:textId="66046DEE" w:rsidR="0BB4BDDB" w:rsidRDefault="0BB4BDDB" w:rsidP="0BB4BDDB">
      <w:pPr>
        <w:rPr>
          <w:rFonts w:ascii="Calibri" w:eastAsia="Calibri" w:hAnsi="Calibri" w:cs="Calibri"/>
          <w:sz w:val="25"/>
          <w:szCs w:val="25"/>
        </w:rPr>
      </w:pPr>
      <w:r w:rsidRPr="0BB4BDDB">
        <w:rPr>
          <w:rFonts w:ascii="Calibri" w:eastAsia="Calibri" w:hAnsi="Calibri" w:cs="Calibri"/>
          <w:sz w:val="25"/>
          <w:szCs w:val="25"/>
        </w:rPr>
        <w:t>This file addresses mapping between ABARES use of 19115-3 and GA’s use of 19115-3.</w:t>
      </w:r>
    </w:p>
    <w:p w14:paraId="41D968FE" w14:textId="6979E871" w:rsidR="0BB4BDDB" w:rsidRDefault="0BB4BDDB" w:rsidP="0BB4BDDB">
      <w:pPr>
        <w:rPr>
          <w:rFonts w:ascii="Calibri" w:eastAsia="Calibri" w:hAnsi="Calibri" w:cs="Calibri"/>
          <w:sz w:val="25"/>
          <w:szCs w:val="25"/>
        </w:rPr>
      </w:pPr>
      <w:r w:rsidRPr="0BB4BDDB">
        <w:rPr>
          <w:rFonts w:ascii="Calibri" w:eastAsia="Calibri" w:hAnsi="Calibri" w:cs="Calibri"/>
          <w:sz w:val="25"/>
          <w:szCs w:val="25"/>
        </w:rPr>
        <w:t>Included for reference purposes.</w:t>
      </w:r>
    </w:p>
    <w:sectPr w:rsidR="0BB4BDDB" w:rsidSect="00C510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59CA"/>
    <w:multiLevelType w:val="hybridMultilevel"/>
    <w:tmpl w:val="95B0FBCA"/>
    <w:lvl w:ilvl="0" w:tplc="4F746CF0">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EA0"/>
    <w:multiLevelType w:val="hybridMultilevel"/>
    <w:tmpl w:val="F6FCEB4E"/>
    <w:lvl w:ilvl="0" w:tplc="2064E6E2">
      <w:start w:val="16"/>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5FE2E75"/>
    <w:multiLevelType w:val="multilevel"/>
    <w:tmpl w:val="013A8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D0C34"/>
    <w:multiLevelType w:val="hybridMultilevel"/>
    <w:tmpl w:val="01BCFE92"/>
    <w:lvl w:ilvl="0" w:tplc="0409000F">
      <w:start w:val="1"/>
      <w:numFmt w:val="decimal"/>
      <w:lvlText w:val="%1."/>
      <w:lvlJc w:val="left"/>
      <w:pPr>
        <w:ind w:left="720" w:hanging="360"/>
      </w:pPr>
    </w:lvl>
    <w:lvl w:ilvl="1" w:tplc="B9DCD664">
      <w:start w:val="5"/>
      <w:numFmt w:val="bullet"/>
      <w:lvlText w:val="-"/>
      <w:lvlJc w:val="left"/>
      <w:pPr>
        <w:ind w:left="1440" w:hanging="360"/>
      </w:pPr>
      <w:rPr>
        <w:rFonts w:ascii="Arial" w:eastAsia="Times New Roma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E0C3D"/>
    <w:multiLevelType w:val="hybridMultilevel"/>
    <w:tmpl w:val="411EA400"/>
    <w:lvl w:ilvl="0" w:tplc="173E2E86">
      <w:start w:val="1"/>
      <w:numFmt w:val="bullet"/>
      <w:lvlText w:val=""/>
      <w:lvlJc w:val="left"/>
      <w:pPr>
        <w:ind w:left="720" w:hanging="360"/>
      </w:pPr>
      <w:rPr>
        <w:rFonts w:ascii="Symbol" w:hAnsi="Symbol" w:hint="default"/>
      </w:rPr>
    </w:lvl>
    <w:lvl w:ilvl="1" w:tplc="58A2C95A">
      <w:start w:val="1"/>
      <w:numFmt w:val="bullet"/>
      <w:lvlText w:val="o"/>
      <w:lvlJc w:val="left"/>
      <w:pPr>
        <w:ind w:left="1440" w:hanging="360"/>
      </w:pPr>
      <w:rPr>
        <w:rFonts w:ascii="Courier New" w:hAnsi="Courier New" w:hint="default"/>
      </w:rPr>
    </w:lvl>
    <w:lvl w:ilvl="2" w:tplc="2C8C6B06">
      <w:start w:val="1"/>
      <w:numFmt w:val="bullet"/>
      <w:lvlText w:val=""/>
      <w:lvlJc w:val="left"/>
      <w:pPr>
        <w:ind w:left="2160" w:hanging="360"/>
      </w:pPr>
      <w:rPr>
        <w:rFonts w:ascii="Wingdings" w:hAnsi="Wingdings" w:hint="default"/>
      </w:rPr>
    </w:lvl>
    <w:lvl w:ilvl="3" w:tplc="605E5510">
      <w:start w:val="1"/>
      <w:numFmt w:val="bullet"/>
      <w:lvlText w:val=""/>
      <w:lvlJc w:val="left"/>
      <w:pPr>
        <w:ind w:left="2880" w:hanging="360"/>
      </w:pPr>
      <w:rPr>
        <w:rFonts w:ascii="Symbol" w:hAnsi="Symbol" w:hint="default"/>
      </w:rPr>
    </w:lvl>
    <w:lvl w:ilvl="4" w:tplc="D66203A6">
      <w:start w:val="1"/>
      <w:numFmt w:val="bullet"/>
      <w:lvlText w:val="o"/>
      <w:lvlJc w:val="left"/>
      <w:pPr>
        <w:ind w:left="3600" w:hanging="360"/>
      </w:pPr>
      <w:rPr>
        <w:rFonts w:ascii="Courier New" w:hAnsi="Courier New" w:hint="default"/>
      </w:rPr>
    </w:lvl>
    <w:lvl w:ilvl="5" w:tplc="3F249290">
      <w:start w:val="1"/>
      <w:numFmt w:val="bullet"/>
      <w:lvlText w:val=""/>
      <w:lvlJc w:val="left"/>
      <w:pPr>
        <w:ind w:left="4320" w:hanging="360"/>
      </w:pPr>
      <w:rPr>
        <w:rFonts w:ascii="Wingdings" w:hAnsi="Wingdings" w:hint="default"/>
      </w:rPr>
    </w:lvl>
    <w:lvl w:ilvl="6" w:tplc="05E45F6A">
      <w:start w:val="1"/>
      <w:numFmt w:val="bullet"/>
      <w:lvlText w:val=""/>
      <w:lvlJc w:val="left"/>
      <w:pPr>
        <w:ind w:left="5040" w:hanging="360"/>
      </w:pPr>
      <w:rPr>
        <w:rFonts w:ascii="Symbol" w:hAnsi="Symbol" w:hint="default"/>
      </w:rPr>
    </w:lvl>
    <w:lvl w:ilvl="7" w:tplc="D41600A8">
      <w:start w:val="1"/>
      <w:numFmt w:val="bullet"/>
      <w:lvlText w:val="o"/>
      <w:lvlJc w:val="left"/>
      <w:pPr>
        <w:ind w:left="5760" w:hanging="360"/>
      </w:pPr>
      <w:rPr>
        <w:rFonts w:ascii="Courier New" w:hAnsi="Courier New" w:hint="default"/>
      </w:rPr>
    </w:lvl>
    <w:lvl w:ilvl="8" w:tplc="7E04DFDA">
      <w:start w:val="1"/>
      <w:numFmt w:val="bullet"/>
      <w:lvlText w:val=""/>
      <w:lvlJc w:val="left"/>
      <w:pPr>
        <w:ind w:left="6480" w:hanging="360"/>
      </w:pPr>
      <w:rPr>
        <w:rFonts w:ascii="Wingdings" w:hAnsi="Wingdings" w:hint="default"/>
      </w:rPr>
    </w:lvl>
  </w:abstractNum>
  <w:abstractNum w:abstractNumId="5" w15:restartNumberingAfterBreak="0">
    <w:nsid w:val="48FC35E4"/>
    <w:multiLevelType w:val="multilevel"/>
    <w:tmpl w:val="74A8B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E50B40"/>
    <w:multiLevelType w:val="multilevel"/>
    <w:tmpl w:val="8402B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F3DE6"/>
    <w:multiLevelType w:val="hybridMultilevel"/>
    <w:tmpl w:val="B796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62069"/>
    <w:multiLevelType w:val="multilevel"/>
    <w:tmpl w:val="27AA1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EF4119"/>
    <w:multiLevelType w:val="hybridMultilevel"/>
    <w:tmpl w:val="6012257A"/>
    <w:lvl w:ilvl="0" w:tplc="9CA87B94">
      <w:start w:val="1"/>
      <w:numFmt w:val="decimal"/>
      <w:lvlText w:val="%1."/>
      <w:lvlJc w:val="left"/>
      <w:pPr>
        <w:ind w:left="720" w:hanging="360"/>
      </w:pPr>
      <w:rPr>
        <w:rFonts w:ascii="Arial" w:hAnsi="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9"/>
  </w:num>
  <w:num w:numId="5">
    <w:abstractNumId w:val="7"/>
  </w:num>
  <w:num w:numId="6">
    <w:abstractNumId w:val="2"/>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3F"/>
    <w:rsid w:val="0010396D"/>
    <w:rsid w:val="001F763F"/>
    <w:rsid w:val="00462711"/>
    <w:rsid w:val="00471436"/>
    <w:rsid w:val="00675DF7"/>
    <w:rsid w:val="00785047"/>
    <w:rsid w:val="00A6332E"/>
    <w:rsid w:val="00A96970"/>
    <w:rsid w:val="00B36BA9"/>
    <w:rsid w:val="00B558F2"/>
    <w:rsid w:val="00BE4BB4"/>
    <w:rsid w:val="00C5103C"/>
    <w:rsid w:val="00CD3C0A"/>
    <w:rsid w:val="00D452AF"/>
    <w:rsid w:val="00D629F6"/>
    <w:rsid w:val="00D7783F"/>
    <w:rsid w:val="00EC311C"/>
    <w:rsid w:val="00F87B3A"/>
    <w:rsid w:val="0BB4BDDB"/>
    <w:rsid w:val="144556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B39F"/>
  <w15:chartTrackingRefBased/>
  <w15:docId w15:val="{BD4EE56A-815B-6049-A81E-644C425C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33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3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3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763F"/>
    <w:rPr>
      <w:color w:val="000080"/>
      <w:u w:val="single"/>
    </w:rPr>
  </w:style>
  <w:style w:type="paragraph" w:styleId="NormalWeb">
    <w:name w:val="Normal (Web)"/>
    <w:basedOn w:val="Normal"/>
    <w:uiPriority w:val="99"/>
    <w:semiHidden/>
    <w:unhideWhenUsed/>
    <w:rsid w:val="001F763F"/>
    <w:pPr>
      <w:spacing w:before="100" w:beforeAutospacing="1" w:after="142" w:line="276"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633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33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6332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A633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6332E"/>
    <w:rPr>
      <w:rFonts w:eastAsiaTheme="minorEastAsia"/>
      <w:color w:val="5A5A5A" w:themeColor="text1" w:themeTint="A5"/>
      <w:spacing w:val="15"/>
      <w:sz w:val="22"/>
      <w:szCs w:val="22"/>
    </w:rPr>
  </w:style>
  <w:style w:type="character" w:styleId="Strong">
    <w:name w:val="Strong"/>
    <w:basedOn w:val="DefaultParagraphFont"/>
    <w:uiPriority w:val="22"/>
    <w:qFormat/>
    <w:rsid w:val="00A6332E"/>
    <w:rPr>
      <w:b/>
      <w:bCs/>
    </w:rPr>
  </w:style>
  <w:style w:type="table" w:styleId="TableGrid">
    <w:name w:val="Table Grid"/>
    <w:basedOn w:val="TableNormal"/>
    <w:uiPriority w:val="39"/>
    <w:rsid w:val="00A6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CD3C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8737">
      <w:bodyDiv w:val="1"/>
      <w:marLeft w:val="0"/>
      <w:marRight w:val="0"/>
      <w:marTop w:val="0"/>
      <w:marBottom w:val="0"/>
      <w:divBdr>
        <w:top w:val="none" w:sz="0" w:space="0" w:color="auto"/>
        <w:left w:val="none" w:sz="0" w:space="0" w:color="auto"/>
        <w:bottom w:val="none" w:sz="0" w:space="0" w:color="auto"/>
        <w:right w:val="none" w:sz="0" w:space="0" w:color="auto"/>
      </w:divBdr>
    </w:div>
    <w:div w:id="1185049526">
      <w:bodyDiv w:val="1"/>
      <w:marLeft w:val="0"/>
      <w:marRight w:val="0"/>
      <w:marTop w:val="0"/>
      <w:marBottom w:val="0"/>
      <w:divBdr>
        <w:top w:val="none" w:sz="0" w:space="0" w:color="auto"/>
        <w:left w:val="none" w:sz="0" w:space="0" w:color="auto"/>
        <w:bottom w:val="none" w:sz="0" w:space="0" w:color="auto"/>
        <w:right w:val="none" w:sz="0" w:space="0" w:color="auto"/>
      </w:divBdr>
    </w:div>
    <w:div w:id="1505823447">
      <w:bodyDiv w:val="1"/>
      <w:marLeft w:val="0"/>
      <w:marRight w:val="0"/>
      <w:marTop w:val="0"/>
      <w:marBottom w:val="0"/>
      <w:divBdr>
        <w:top w:val="none" w:sz="0" w:space="0" w:color="auto"/>
        <w:left w:val="none" w:sz="0" w:space="0" w:color="auto"/>
        <w:bottom w:val="none" w:sz="0" w:space="0" w:color="auto"/>
        <w:right w:val="none" w:sz="0" w:space="0" w:color="auto"/>
      </w:divBdr>
    </w:div>
    <w:div w:id="18330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gov.au/metadata-gateway/metadata/record/102441" TargetMode="External"/><Relationship Id="rId3" Type="http://schemas.openxmlformats.org/officeDocument/2006/relationships/settings" Target="settings.xml"/><Relationship Id="rId7" Type="http://schemas.openxmlformats.org/officeDocument/2006/relationships/hyperlink" Target="https://github.com/w3c/dxwg/blob/gh-pages/DCAT-ISO19115-mapping.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3c.github.io/dxwg/dcat/" TargetMode="External"/><Relationship Id="rId11" Type="http://schemas.openxmlformats.org/officeDocument/2006/relationships/theme" Target="theme/theme1.xml"/><Relationship Id="rId5" Type="http://schemas.openxmlformats.org/officeDocument/2006/relationships/hyperlink" Target="https://toolkit.data.gov.au/index.php/Discovering_Metada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gov.au/metadata-gateway/metadata/record/102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D21363BA.dotm</Template>
  <TotalTime>1</TotalTime>
  <Pages>6</Pages>
  <Words>1465</Words>
  <Characters>8353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Cochrane</dc:creator>
  <cp:keywords/>
  <dc:description/>
  <cp:lastModifiedBy>Bastrakova Irina</cp:lastModifiedBy>
  <cp:revision>2</cp:revision>
  <dcterms:created xsi:type="dcterms:W3CDTF">2019-02-12T05:02:00Z</dcterms:created>
  <dcterms:modified xsi:type="dcterms:W3CDTF">2019-02-12T05:02:00Z</dcterms:modified>
</cp:coreProperties>
</file>